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3.45pt;margin-top:-25.15pt;width:52.45pt;height:16.45pt;mso-wrap-style:none;v-text-anchor:middle">
                <v:textbox>
                  <w:txbxContent>
                    <w:p>
                      <w:pPr>
                        <w:bidi w:val="0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910" cy="6032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" t="-68" r="-99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 xml:space="preserve">24.05.2023                        </w:t>
      </w:r>
      <w:r>
        <w:rPr>
          <w:sz w:val="28"/>
          <w:szCs w:val="28"/>
        </w:rPr>
        <w:t xml:space="preserve">                     </w:t>
      </w:r>
      <w:r>
        <w:rPr>
          <w:sz w:val="20"/>
          <w:szCs w:val="20"/>
        </w:rPr>
        <w:t xml:space="preserve">м.Покров  </w:t>
      </w:r>
      <w:r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  <w:lang w:val="uk-UA"/>
        </w:rPr>
        <w:t>216/06-53-23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Про надання дозволу на розміщення 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рекламн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их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конструкці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й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-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сітілайтів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в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районі будинк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ів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№ 8, 28, 30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на вул.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Центральній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ФОП Скороходовій О.В.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val="uk-UA"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uk-UA" w:eastAsia="ar-SA"/>
        </w:rPr>
      </w:r>
    </w:p>
    <w:p>
      <w:pPr>
        <w:pStyle w:val="NoSpacing"/>
        <w:spacing w:lineRule="auto" w:line="240"/>
        <w:ind w:left="0" w:right="0"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фізичної особи-підприємця Скороходової Олени Володимирівни щодо надання дозволу на розміщення рекламн</w:t>
      </w:r>
      <w:r>
        <w:rPr>
          <w:rFonts w:cs="Times New Roman" w:ascii="Times New Roman" w:hAnsi="Times New Roman"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sz w:val="26"/>
          <w:szCs w:val="26"/>
          <w:lang w:val="uk-UA"/>
        </w:rPr>
        <w:t>й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- </w:t>
      </w:r>
      <w:r>
        <w:rPr>
          <w:rFonts w:cs="Times New Roman" w:ascii="Times New Roman" w:hAnsi="Times New Roman"/>
          <w:sz w:val="26"/>
          <w:szCs w:val="26"/>
          <w:lang w:val="uk-UA"/>
        </w:rPr>
        <w:t>сітілайтів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у кількості </w:t>
      </w:r>
      <w:r>
        <w:rPr>
          <w:rFonts w:cs="Times New Roman" w:ascii="Times New Roman" w:hAnsi="Times New Roman"/>
          <w:sz w:val="26"/>
          <w:szCs w:val="26"/>
          <w:lang w:val="uk-UA"/>
        </w:rPr>
        <w:t>трьох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штук </w:t>
      </w:r>
      <w:r>
        <w:rPr>
          <w:rFonts w:cs="Times New Roman" w:ascii="Times New Roman" w:hAnsi="Times New Roman"/>
          <w:sz w:val="26"/>
          <w:szCs w:val="26"/>
          <w:lang w:val="uk-UA"/>
        </w:rPr>
        <w:t>в районі будинк</w:t>
      </w:r>
      <w:r>
        <w:rPr>
          <w:rFonts w:cs="Times New Roman" w:ascii="Times New Roman" w:hAnsi="Times New Roman"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№ 8, 28, 30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на вул. </w:t>
      </w:r>
      <w:r>
        <w:rPr>
          <w:rFonts w:cs="Times New Roman" w:ascii="Times New Roman" w:hAnsi="Times New Roman"/>
          <w:sz w:val="26"/>
          <w:szCs w:val="26"/>
          <w:lang w:val="uk-UA"/>
        </w:rPr>
        <w:t>Центральній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,  керуючись статтею 30 Закону України «Про місцеве самоврядування в Україні», Законом України «Про рекламу», </w:t>
      </w:r>
      <w:r>
        <w:rPr>
          <w:rFonts w:cs="Times New Roman" w:ascii="Times New Roman" w:hAnsi="Times New Roman"/>
          <w:sz w:val="26"/>
          <w:szCs w:val="26"/>
          <w:lang w:val="uk-UA"/>
        </w:rPr>
        <w:t>п</w:t>
      </w:r>
      <w:r>
        <w:rPr>
          <w:rFonts w:cs="Times New Roman" w:ascii="Times New Roman" w:hAnsi="Times New Roman"/>
          <w:sz w:val="26"/>
          <w:szCs w:val="26"/>
          <w:lang w:val="uk-UA"/>
        </w:rPr>
        <w:t>остановою Кабінету Міністрів України «Про затвердження Типових правил розміщення зовнішньої реклами» від 29 грудня 2003 р</w:t>
      </w:r>
      <w:r>
        <w:rPr>
          <w:rFonts w:cs="Times New Roman" w:ascii="Times New Roman" w:hAnsi="Times New Roman"/>
          <w:sz w:val="26"/>
          <w:szCs w:val="26"/>
          <w:lang w:val="uk-UA"/>
        </w:rPr>
        <w:t>оку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lineRule="auto" w:line="240"/>
        <w:ind w:left="0" w:right="0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Надати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фізичній особі-підприємцю Скороходовій Олені Володимирівні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дозвіл на розміщення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— </w:t>
      </w:r>
      <w:bookmarkStart w:id="0" w:name="_GoBack"/>
      <w:bookmarkEnd w:id="0"/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сітілайтів у кількості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трьох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штук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 районі будинк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ar-SA"/>
        </w:rPr>
        <w:t>№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ar-SA"/>
        </w:rPr>
        <w:t>№ 8, 28, 30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на вул.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Центральній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 до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01.0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6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.2028</w:t>
      </w:r>
      <w:r>
        <w:rPr>
          <w:rFonts w:eastAsia="Calibri" w:cs="Times New Roman" w:ascii="Times New Roman" w:hAnsi="Times New Roman"/>
          <w:bCs/>
          <w:color w:val="000000"/>
          <w:kern w:val="0"/>
          <w:sz w:val="26"/>
          <w:szCs w:val="26"/>
          <w:shd w:fill="FFFFFF" w:val="clear"/>
          <w:lang w:val="en-US" w:eastAsia="en-US" w:bidi="ar-SA"/>
        </w:rPr>
        <w:t>.</w:t>
      </w:r>
    </w:p>
    <w:p>
      <w:pPr>
        <w:pStyle w:val="NoSpacing"/>
        <w:spacing w:lineRule="auto" w:line="240"/>
        <w:ind w:left="0" w:right="0"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 Попередити ФОП Скороходову О.В.: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2.1. Своєчасно та в повному обсязі вносити плату за користування місцем розміщення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засоб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авчого комітету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ради.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2.2. Відповідальність за зовнішній та технічний стан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засоб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засоб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несе розповсюджувач зовнішньої реклами.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2.3.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ї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засоб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дії.</w:t>
      </w:r>
    </w:p>
    <w:p>
      <w:pPr>
        <w:pStyle w:val="NoSpacing"/>
        <w:spacing w:lineRule="auto" w:line="240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2.4. В разі закінчення строку дії дозвол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на розміщення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, розповсюджувач зовнішньої реклами не пізніше як за місяць звертається до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виконавчого комітету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 із заявою на продовження терміну розміщення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их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засоб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ів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або у триденний строк демонтує рекламн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конструкці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ї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 обов’язковим відновленням благоустрою.</w:t>
      </w:r>
    </w:p>
    <w:p>
      <w:pPr>
        <w:pStyle w:val="Style21"/>
        <w:spacing w:lineRule="auto" w:line="24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іськ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ий</w:t>
      </w:r>
      <w:r>
        <w:rPr>
          <w:rFonts w:cs="Times New Roman" w:ascii="Times New Roman" w:hAnsi="Times New Roman"/>
          <w:sz w:val="26"/>
          <w:szCs w:val="26"/>
          <w:lang w:eastAsia="ar-S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голов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а</w:t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  <w:t xml:space="preserve">        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Олександр ШАПОВАЛ</w:t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0"/>
      <w:sz w:val="22"/>
      <w:szCs w:val="22"/>
      <w:lang w:val="ru-R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LibreOffice/7.4.3.2$Windows_X86_64 LibreOffice_project/1048a8393ae2eeec98dff31b5c133c5f1d08b890</Application>
  <AppVersion>15.0000</AppVersion>
  <Pages>1</Pages>
  <Words>319</Words>
  <Characters>2132</Characters>
  <CharactersWithSpaces>2533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2021-05-14T11:13:00Z</dcterms:created>
  <dc:creator>digital_PC</dc:creator>
  <dc:description/>
  <dc:language>uk-UA</dc:language>
  <cp:lastModifiedBy/>
  <cp:lastPrinted>2021-04-12T05:55:00Z</cp:lastPrinted>
  <dcterms:modified xsi:type="dcterms:W3CDTF">2023-05-29T15:34:22Z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