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0" w:leader="none"/>
          <w:tab w:val="right" w:pos="9638" w:leader="none"/>
        </w:tabs>
        <w:jc w:val="right"/>
        <w:rPr/>
      </w:pPr>
      <w:r>
        <w:drawing>
          <wp:anchor behindDoc="0" distT="0" distB="0" distL="114935" distR="114935" simplePos="0" locked="0" layoutInCell="1" allowOverlap="1" relativeHeight="2">
            <wp:simplePos x="0" y="0"/>
            <wp:positionH relativeFrom="column">
              <wp:posOffset>2787015</wp:posOffset>
            </wp:positionH>
            <wp:positionV relativeFrom="paragraph">
              <wp:posOffset>-23495</wp:posOffset>
            </wp:positionV>
            <wp:extent cx="495300" cy="723900"/>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06" t="-79" r="-106" b="-79"/>
                    <a:stretch>
                      <a:fillRect/>
                    </a:stretch>
                  </pic:blipFill>
                  <pic:spPr bwMode="auto">
                    <a:xfrm>
                      <a:off x="0" y="0"/>
                      <a:ext cx="495300" cy="723900"/>
                    </a:xfrm>
                    <a:prstGeom prst="rect">
                      <a:avLst/>
                    </a:prstGeom>
                  </pic:spPr>
                </pic:pic>
              </a:graphicData>
            </a:graphic>
          </wp:anchor>
        </w:drawing>
      </w:r>
      <w:r>
        <w:rPr>
          <w:b/>
          <w:bCs/>
          <w:sz w:val="28"/>
          <w:szCs w:val="28"/>
          <w:lang w:val="uk-UA"/>
        </w:rPr>
        <w:tab/>
      </w:r>
      <w:r>
        <w:rPr>
          <w:b/>
          <w:bCs/>
          <w:sz w:val="28"/>
          <w:szCs w:val="28"/>
          <w:lang w:val="uk-UA"/>
        </w:rPr>
        <w:t>копія</w:t>
      </w:r>
    </w:p>
    <w:p>
      <w:pPr>
        <w:pStyle w:val="Normal"/>
        <w:tabs>
          <w:tab w:val="clear" w:pos="708"/>
          <w:tab w:val="center" w:pos="4819" w:leader="none"/>
          <w:tab w:val="right" w:pos="9638" w:leader="none"/>
        </w:tabs>
        <w:jc w:val="center"/>
        <w:rPr/>
      </w:pPr>
      <w:r>
        <w:rPr>
          <w:b/>
          <w:bCs/>
          <w:sz w:val="28"/>
          <w:lang w:val="uk-UA"/>
        </w:rPr>
        <w:t>ПОКРОВСЬКА  МІСЬКА РАДА</w:t>
      </w:r>
    </w:p>
    <w:p>
      <w:pPr>
        <w:pStyle w:val="Normal"/>
        <w:keepNext w:val="true"/>
        <w:pBdr>
          <w:bottom w:val="single" w:sz="12" w:space="1" w:color="000001"/>
        </w:pBdr>
        <w:jc w:val="center"/>
        <w:rPr/>
      </w:pPr>
      <w:r>
        <w:rPr>
          <w:b/>
          <w:bCs/>
          <w:sz w:val="28"/>
          <w:lang w:val="uk-UA"/>
        </w:rPr>
        <w:t>ДНІПРОПЕТРОВСЬКОЇ ОБЛАСТІ</w:t>
      </w:r>
    </w:p>
    <w:p>
      <w:pPr>
        <w:pStyle w:val="Normal"/>
        <w:keepNext w:val="true"/>
        <w:pBdr>
          <w:bottom w:val="single" w:sz="12" w:space="1" w:color="000001"/>
        </w:pBdr>
        <w:jc w:val="center"/>
        <w:rPr/>
      </w:pPr>
      <w:r>
        <w:rPr>
          <w:b/>
          <w:bCs/>
          <w:sz w:val="16"/>
          <w:szCs w:val="16"/>
          <w:lang w:val="uk-UA"/>
        </w:rPr>
        <w:t>____________________________________________________________________________________________________________________</w:t>
      </w:r>
    </w:p>
    <w:p>
      <w:pPr>
        <w:pStyle w:val="Normal"/>
        <w:keepNext w:val="true"/>
        <w:jc w:val="center"/>
        <w:rPr/>
      </w:pPr>
      <w:r>
        <w:rPr>
          <w:b/>
          <w:bCs/>
          <w:sz w:val="28"/>
          <w:szCs w:val="30"/>
          <w:lang w:val="uk-UA"/>
        </w:rPr>
        <w:t>РІШЕННЯ</w:t>
      </w:r>
    </w:p>
    <w:p>
      <w:pPr>
        <w:pStyle w:val="Normal"/>
        <w:jc w:val="both"/>
        <w:rPr/>
      </w:pPr>
      <w:r>
        <w:rPr>
          <w:color w:val="000000"/>
          <w:sz w:val="28"/>
          <w:szCs w:val="28"/>
          <w:lang w:val="uk-UA"/>
        </w:rPr>
        <w:t>29. 05. 2020</w:t>
        <w:tab/>
        <w:tab/>
      </w:r>
      <w:r>
        <w:rPr>
          <w:color w:val="000000"/>
          <w:sz w:val="28"/>
          <w:szCs w:val="28"/>
          <w:lang w:val="uk-UA"/>
        </w:rPr>
        <w:t xml:space="preserve">                               м.Покров                   </w:t>
        <w:tab/>
        <w:tab/>
        <w:tab/>
        <w:t xml:space="preserve">   </w:t>
      </w:r>
      <w:r>
        <w:rPr>
          <w:sz w:val="28"/>
          <w:szCs w:val="28"/>
          <w:lang w:val="uk-UA"/>
        </w:rPr>
        <w:t xml:space="preserve">№ </w:t>
      </w:r>
      <w:r>
        <w:rPr>
          <w:sz w:val="28"/>
          <w:szCs w:val="28"/>
          <w:lang w:val="uk-UA"/>
        </w:rPr>
        <w:t>1</w:t>
      </w:r>
    </w:p>
    <w:p>
      <w:pPr>
        <w:pStyle w:val="Normal"/>
        <w:jc w:val="both"/>
        <w:rPr>
          <w:sz w:val="16"/>
          <w:szCs w:val="16"/>
          <w:lang w:val="uk-UA"/>
        </w:rPr>
      </w:pPr>
      <w:r>
        <w:rPr>
          <w:sz w:val="16"/>
          <w:szCs w:val="16"/>
          <w:lang w:val="uk-UA"/>
        </w:rPr>
      </w:r>
    </w:p>
    <w:p>
      <w:pPr>
        <w:pStyle w:val="Normal"/>
        <w:jc w:val="center"/>
        <w:rPr/>
      </w:pPr>
      <w:r>
        <w:rPr>
          <w:sz w:val="28"/>
          <w:szCs w:val="28"/>
          <w:lang w:val="uk-UA"/>
        </w:rPr>
        <w:t xml:space="preserve">(57 сесія 7 скликання)                                                                       </w:t>
      </w:r>
    </w:p>
    <w:p>
      <w:pPr>
        <w:pStyle w:val="Normal"/>
        <w:jc w:val="center"/>
        <w:rPr>
          <w:color w:val="000000"/>
          <w:spacing w:val="3"/>
          <w:sz w:val="28"/>
          <w:szCs w:val="28"/>
          <w:lang w:val="uk-UA"/>
        </w:rPr>
      </w:pPr>
      <w:r>
        <w:rPr>
          <w:color w:val="000000"/>
          <w:spacing w:val="3"/>
          <w:sz w:val="28"/>
          <w:szCs w:val="28"/>
          <w:lang w:val="uk-UA"/>
        </w:rPr>
      </w:r>
    </w:p>
    <w:p>
      <w:pPr>
        <w:pStyle w:val="Normal"/>
        <w:shd w:val="clear" w:color="auto" w:fill="FFFFFF"/>
        <w:spacing w:lineRule="auto" w:line="216"/>
        <w:ind w:left="11" w:right="266" w:hanging="11"/>
        <w:jc w:val="both"/>
        <w:rPr>
          <w:color w:val="000000"/>
          <w:spacing w:val="3"/>
          <w:sz w:val="28"/>
          <w:szCs w:val="28"/>
          <w:lang w:val="uk-UA"/>
        </w:rPr>
      </w:pPr>
      <w:r>
        <w:rPr>
          <w:color w:val="000000"/>
          <w:spacing w:val="3"/>
          <w:sz w:val="28"/>
          <w:szCs w:val="28"/>
          <w:lang w:val="uk-UA"/>
        </w:rPr>
        <w:t xml:space="preserve">Про стан запровадження монетизованих пільг та субсидій на житлово-комунальні послуги протягом опалювального періоду 2019-2020 років в територіальній громаді м. Покров </w:t>
      </w:r>
    </w:p>
    <w:p>
      <w:pPr>
        <w:pStyle w:val="Normal"/>
        <w:shd w:val="clear" w:color="auto" w:fill="FFFFFF"/>
        <w:spacing w:lineRule="auto" w:line="216"/>
        <w:ind w:left="11" w:right="266" w:hanging="11"/>
        <w:jc w:val="both"/>
        <w:rPr>
          <w:color w:val="000000"/>
          <w:spacing w:val="3"/>
          <w:sz w:val="28"/>
          <w:szCs w:val="28"/>
          <w:lang w:val="uk-UA"/>
        </w:rPr>
      </w:pPr>
      <w:r>
        <w:rPr>
          <w:color w:val="000000"/>
          <w:spacing w:val="3"/>
          <w:sz w:val="28"/>
          <w:szCs w:val="28"/>
          <w:lang w:val="uk-UA"/>
        </w:rPr>
      </w:r>
    </w:p>
    <w:p>
      <w:pPr>
        <w:pStyle w:val="Normal"/>
        <w:shd w:val="clear" w:color="auto" w:fill="FFFFFF"/>
        <w:spacing w:lineRule="auto" w:line="216"/>
        <w:ind w:left="11" w:right="266" w:hanging="11"/>
        <w:jc w:val="both"/>
        <w:rPr>
          <w:color w:val="000000"/>
          <w:spacing w:val="3"/>
          <w:sz w:val="28"/>
          <w:szCs w:val="28"/>
          <w:lang w:val="uk-UA"/>
        </w:rPr>
      </w:pPr>
      <w:r>
        <w:rPr>
          <w:color w:val="000000"/>
          <w:spacing w:val="3"/>
          <w:sz w:val="28"/>
          <w:szCs w:val="28"/>
          <w:lang w:val="uk-UA"/>
        </w:rPr>
      </w:r>
    </w:p>
    <w:p>
      <w:pPr>
        <w:pStyle w:val="NormalWeb"/>
        <w:spacing w:lineRule="auto" w:line="216" w:before="0" w:after="0"/>
        <w:jc w:val="both"/>
        <w:rPr/>
      </w:pPr>
      <w:r>
        <w:rPr>
          <w:color w:val="000000"/>
          <w:sz w:val="28"/>
          <w:szCs w:val="28"/>
        </w:rPr>
        <w:tab/>
      </w:r>
      <w:r>
        <w:rPr>
          <w:color w:val="000000"/>
          <w:spacing w:val="2"/>
          <w:sz w:val="28"/>
          <w:szCs w:val="28"/>
        </w:rPr>
        <w:t>Керуючись статтею 34 Закону України «Про місцеве самоврядування в Україні», на виконання постанов Кабінету Міністрів України від 17.07.2019   №676 «Про Єдину інформаційно-аналітичну систему управління соціальною підтримкою населення України (Е-</w:t>
      </w:r>
      <w:r>
        <w:rPr>
          <w:color w:val="000000"/>
          <w:spacing w:val="2"/>
          <w:sz w:val="28"/>
          <w:szCs w:val="28"/>
          <w:lang w:val="en-US"/>
        </w:rPr>
        <w:t>SOCIAL</w:t>
      </w:r>
      <w:r>
        <w:rPr>
          <w:color w:val="000000"/>
          <w:spacing w:val="2"/>
          <w:sz w:val="28"/>
          <w:szCs w:val="28"/>
        </w:rPr>
        <w:t>)» та від 26.02.2020 №148 «Про затвердження Порядку використання коштів, передбачених у державному бюджеті для компенсації частини витрат на здійснення заходів з виконання державних програм соціального захисту населення», наказів Міністерства соціальної політики України від 17.07.2019  №1106 «</w:t>
      </w:r>
      <w:r>
        <w:rPr>
          <w:bCs/>
          <w:color w:val="000000"/>
          <w:sz w:val="28"/>
          <w:szCs w:val="28"/>
          <w:shd w:fill="FFFFFF" w:val="clear"/>
        </w:rPr>
        <w:t>Про внесення Змін до Інструкції щодо порядку оформлення і ведення особових справ отримувачів усіх видів соціальної допомоги</w:t>
      </w:r>
      <w:r>
        <w:rPr>
          <w:b/>
          <w:bCs/>
          <w:color w:val="000000"/>
          <w:sz w:val="28"/>
          <w:szCs w:val="28"/>
          <w:shd w:fill="FFFFFF" w:val="clear"/>
        </w:rPr>
        <w:t>»</w:t>
      </w:r>
      <w:r>
        <w:rPr>
          <w:color w:val="000000"/>
          <w:spacing w:val="2"/>
          <w:sz w:val="28"/>
          <w:szCs w:val="28"/>
        </w:rPr>
        <w:t xml:space="preserve"> та від 22.01.2020  №45 «Про підключення до програмного комплексу «Інтегрована інформаційна система «Соціальна громада», враховуючи аналітичну довідку начальника управління праці та соціального захисту населення Ігнатюк Т.М.</w:t>
      </w:r>
      <w:r>
        <w:rPr>
          <w:color w:val="000000"/>
          <w:spacing w:val="3"/>
          <w:sz w:val="28"/>
          <w:szCs w:val="28"/>
        </w:rPr>
        <w:t xml:space="preserve"> щодо запровадження монетизованих пільг та субсидій на житлово-комунальні послуги протягом опалювального періоду 2019-2020 років в територіальній громаді м. Покров</w:t>
      </w:r>
      <w:r>
        <w:rPr>
          <w:color w:val="1D1D1B"/>
          <w:sz w:val="28"/>
          <w:szCs w:val="28"/>
          <w:shd w:fill="FFFFFF" w:val="clear"/>
        </w:rPr>
        <w:t>,</w:t>
      </w:r>
      <w:r>
        <w:rPr>
          <w:color w:val="000000"/>
          <w:sz w:val="28"/>
          <w:szCs w:val="28"/>
        </w:rPr>
        <w:t xml:space="preserve"> міська рада</w:t>
      </w:r>
    </w:p>
    <w:p>
      <w:pPr>
        <w:pStyle w:val="NormalWeb"/>
        <w:spacing w:lineRule="auto" w:line="216" w:before="0" w:after="0"/>
        <w:jc w:val="both"/>
        <w:rPr>
          <w:color w:val="000000"/>
          <w:sz w:val="28"/>
          <w:szCs w:val="28"/>
        </w:rPr>
      </w:pPr>
      <w:r>
        <w:rPr/>
      </w:r>
    </w:p>
    <w:p>
      <w:pPr>
        <w:pStyle w:val="Normal"/>
        <w:spacing w:lineRule="auto" w:line="216" w:before="0" w:after="0"/>
        <w:rPr/>
      </w:pPr>
      <w:r>
        <w:rPr>
          <w:b/>
          <w:bCs/>
          <w:sz w:val="28"/>
          <w:szCs w:val="28"/>
          <w:lang w:val="uk-UA"/>
        </w:rPr>
        <w:t>ВИРІШИЛА:</w:t>
      </w:r>
    </w:p>
    <w:p>
      <w:pPr>
        <w:pStyle w:val="Normal"/>
        <w:spacing w:lineRule="auto" w:line="216" w:before="0" w:after="0"/>
        <w:rPr>
          <w:b/>
          <w:b/>
          <w:bCs/>
          <w:sz w:val="28"/>
          <w:szCs w:val="28"/>
          <w:lang w:val="uk-UA"/>
        </w:rPr>
      </w:pPr>
      <w:r>
        <w:rPr>
          <w:b/>
          <w:bCs/>
          <w:sz w:val="28"/>
          <w:szCs w:val="28"/>
          <w:lang w:val="uk-UA"/>
        </w:rPr>
      </w:r>
    </w:p>
    <w:p>
      <w:pPr>
        <w:pStyle w:val="Normal"/>
        <w:shd w:val="clear" w:color="auto" w:fill="FFFFFF"/>
        <w:tabs>
          <w:tab w:val="clear" w:pos="708"/>
          <w:tab w:val="left" w:pos="-6096" w:leader="none"/>
        </w:tabs>
        <w:spacing w:lineRule="auto" w:line="216" w:before="0" w:after="0"/>
        <w:ind w:firstLine="567"/>
        <w:jc w:val="both"/>
        <w:rPr>
          <w:color w:val="000000"/>
          <w:spacing w:val="2"/>
          <w:sz w:val="28"/>
          <w:szCs w:val="28"/>
          <w:lang w:val="uk-UA"/>
        </w:rPr>
      </w:pPr>
      <w:r>
        <w:rPr>
          <w:color w:val="000000"/>
          <w:spacing w:val="2"/>
          <w:sz w:val="28"/>
          <w:szCs w:val="28"/>
          <w:lang w:val="uk-UA"/>
        </w:rPr>
        <w:t xml:space="preserve">1.  Роботу управління праці та соціального захисту населення виконавчого комітету Покровської міської ради в частині </w:t>
      </w:r>
      <w:r>
        <w:rPr>
          <w:color w:val="000000"/>
          <w:spacing w:val="3"/>
          <w:sz w:val="28"/>
          <w:szCs w:val="28"/>
          <w:lang w:val="uk-UA"/>
        </w:rPr>
        <w:t>запровадження монетизованих пільг та субсидій на житлово-комунальні послуги протягом опалювального періоду 2019-2020 років в територіальній громаді м. Покров</w:t>
      </w:r>
      <w:r>
        <w:rPr>
          <w:color w:val="000000"/>
          <w:spacing w:val="2"/>
          <w:sz w:val="28"/>
          <w:szCs w:val="28"/>
          <w:lang w:val="uk-UA"/>
        </w:rPr>
        <w:t xml:space="preserve"> визнати такою, що відповідає пріоритетним напрямкам соціальної політики держави.</w:t>
      </w:r>
    </w:p>
    <w:p>
      <w:pPr>
        <w:pStyle w:val="Normal"/>
        <w:shd w:val="clear" w:color="auto" w:fill="FFFFFF"/>
        <w:tabs>
          <w:tab w:val="clear" w:pos="708"/>
          <w:tab w:val="left" w:pos="-6096" w:leader="none"/>
        </w:tabs>
        <w:spacing w:lineRule="auto" w:line="216"/>
        <w:ind w:firstLine="567"/>
        <w:jc w:val="both"/>
        <w:rPr>
          <w:color w:val="000000"/>
          <w:spacing w:val="2"/>
          <w:sz w:val="28"/>
          <w:szCs w:val="28"/>
          <w:lang w:val="uk-UA"/>
        </w:rPr>
      </w:pPr>
      <w:r>
        <w:rPr>
          <w:color w:val="000000"/>
          <w:spacing w:val="2"/>
          <w:sz w:val="28"/>
          <w:szCs w:val="28"/>
          <w:lang w:val="uk-UA"/>
        </w:rPr>
        <w:t xml:space="preserve"> </w:t>
      </w:r>
      <w:r>
        <w:rPr>
          <w:color w:val="000000"/>
          <w:spacing w:val="2"/>
          <w:sz w:val="28"/>
          <w:szCs w:val="28"/>
          <w:lang w:val="uk-UA"/>
        </w:rPr>
        <w:t>2. Управлінню праці та соціального захисту населення виконавчого комітету Покровської міської Ради (Ігнатюк Т.М.) забезпечити виконання функцій з надання послуг соціального спрямування із застосуванням електронного документообігу через використання Єдиної інформаційно-аналітичної системи управління сучасних інформаційних технологій для організації надання адміністративних послуг соціального характеру (</w:t>
      </w:r>
      <w:r>
        <w:rPr>
          <w:color w:val="000000"/>
          <w:spacing w:val="2"/>
          <w:sz w:val="28"/>
          <w:szCs w:val="28"/>
          <w:lang w:val="en-US"/>
        </w:rPr>
        <w:t>E</w:t>
      </w:r>
      <w:r>
        <w:rPr>
          <w:color w:val="000000"/>
          <w:spacing w:val="2"/>
          <w:sz w:val="28"/>
          <w:szCs w:val="28"/>
          <w:lang w:val="uk-UA"/>
        </w:rPr>
        <w:t>-</w:t>
      </w:r>
      <w:r>
        <w:rPr>
          <w:color w:val="000000"/>
          <w:spacing w:val="2"/>
          <w:sz w:val="28"/>
          <w:szCs w:val="28"/>
          <w:lang w:val="en-US"/>
        </w:rPr>
        <w:t>SOCIAL</w:t>
      </w:r>
      <w:r>
        <w:rPr>
          <w:color w:val="000000"/>
          <w:spacing w:val="2"/>
          <w:sz w:val="28"/>
          <w:szCs w:val="28"/>
          <w:lang w:val="uk-UA"/>
        </w:rPr>
        <w:t>).</w:t>
      </w:r>
    </w:p>
    <w:p>
      <w:pPr>
        <w:pStyle w:val="Normal"/>
        <w:shd w:val="clear" w:color="auto" w:fill="FFFFFF"/>
        <w:tabs>
          <w:tab w:val="clear" w:pos="708"/>
          <w:tab w:val="left" w:pos="-6096" w:leader="none"/>
        </w:tabs>
        <w:spacing w:lineRule="auto" w:line="216"/>
        <w:ind w:firstLine="567"/>
        <w:jc w:val="both"/>
        <w:rPr>
          <w:color w:val="000000"/>
          <w:spacing w:val="2"/>
          <w:sz w:val="28"/>
          <w:szCs w:val="28"/>
          <w:lang w:val="uk-UA"/>
        </w:rPr>
      </w:pPr>
      <w:r>
        <w:rPr>
          <w:color w:val="000000"/>
          <w:spacing w:val="2"/>
          <w:sz w:val="28"/>
          <w:szCs w:val="28"/>
          <w:lang w:val="uk-UA"/>
        </w:rPr>
        <w:t>3.  Управлінню праці та соціального захисту населення виконавчого комітету Покровської міської Ради (Ігнатюк Т.М.), Центру надання адміністративних послуг (Клочковська І.В.) забезпечити виконання функцій з надання адміністративних послуг соціального спрямування із застосуванням електронного документообігу через використання інтегрованої інформаційної системи «Соціальна громада».</w:t>
      </w:r>
    </w:p>
    <w:p>
      <w:pPr>
        <w:pStyle w:val="Normal"/>
        <w:shd w:val="clear" w:color="auto" w:fill="FFFFFF"/>
        <w:tabs>
          <w:tab w:val="clear" w:pos="708"/>
          <w:tab w:val="left" w:pos="1560" w:leader="none"/>
          <w:tab w:val="left" w:pos="1843" w:leader="none"/>
        </w:tabs>
        <w:spacing w:lineRule="auto" w:line="216"/>
        <w:ind w:firstLine="567"/>
        <w:jc w:val="both"/>
        <w:rPr/>
      </w:pPr>
      <w:r>
        <w:rPr>
          <w:color w:val="000000"/>
          <w:spacing w:val="2"/>
          <w:sz w:val="28"/>
          <w:szCs w:val="28"/>
          <w:lang w:val="uk-UA"/>
        </w:rPr>
        <w:t>4.</w:t>
      </w:r>
      <w:r>
        <w:rPr>
          <w:sz w:val="28"/>
          <w:szCs w:val="28"/>
          <w:lang w:val="uk-UA"/>
        </w:rPr>
        <w:t xml:space="preserve"> Координацію роботи по виконанню даного рішення покласти на управління праці та соціального захисту населення (Ігнатюк Т.М.), Центр надання адміністративних послуг (Клочковська І.В.), контроль - на заступника міського голови Бондаренко Н.О., керуючого справами виконкому                 Відяєву Г.М., постійну депутатську комісію з питань соціального захисту та охорони здоров’я, освіти, культури та спорту, у справах молоді                      (Гончаренко Ю.О.)</w:t>
      </w:r>
      <w:r>
        <w:rPr>
          <w:color w:val="000000"/>
          <w:spacing w:val="2"/>
          <w:sz w:val="28"/>
          <w:szCs w:val="28"/>
          <w:lang w:val="uk-UA"/>
        </w:rPr>
        <w:t>.</w:t>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1560" w:leader="none"/>
          <w:tab w:val="left" w:pos="1843" w:leader="none"/>
        </w:tabs>
        <w:spacing w:lineRule="auto" w:line="216"/>
        <w:ind w:firstLine="567"/>
        <w:jc w:val="both"/>
        <w:rPr>
          <w:color w:val="000000"/>
          <w:spacing w:val="2"/>
          <w:sz w:val="28"/>
          <w:szCs w:val="28"/>
          <w:lang w:val="uk-UA"/>
        </w:rPr>
      </w:pPr>
      <w:r>
        <w:rPr>
          <w:color w:val="000000"/>
          <w:spacing w:val="2"/>
          <w:sz w:val="28"/>
          <w:szCs w:val="28"/>
          <w:lang w:val="uk-UA"/>
        </w:rPr>
      </w:r>
    </w:p>
    <w:p>
      <w:pPr>
        <w:pStyle w:val="Normal"/>
        <w:spacing w:lineRule="auto" w:line="240"/>
        <w:rPr/>
      </w:pPr>
      <w:r>
        <w:rPr>
          <w:rFonts w:cs="Times New Roman Cyr" w:ascii="Times New Roman Cyr" w:hAnsi="Times New Roman Cyr"/>
          <w:spacing w:val="-3"/>
          <w:sz w:val="28"/>
          <w:szCs w:val="28"/>
          <w:lang w:val="uk-UA"/>
        </w:rPr>
        <w:t>В.о. м</w:t>
      </w:r>
      <w:r>
        <w:rPr>
          <w:rFonts w:cs="Times New Roman Cyr" w:ascii="Times New Roman Cyr" w:hAnsi="Times New Roman Cyr"/>
          <w:sz w:val="28"/>
          <w:szCs w:val="28"/>
          <w:lang w:val="uk-UA"/>
        </w:rPr>
        <w:t xml:space="preserve">іського голови           </w:t>
        <w:tab/>
        <w:t xml:space="preserve">                              </w:t>
        <w:tab/>
        <w:t xml:space="preserve">        </w:t>
        <w:tab/>
        <w:tab/>
        <w:t xml:space="preserve">       А.І. Пастух</w:t>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t>Ігнатюк 41100</w:t>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shd w:val="clear" w:color="auto" w:fill="FFFFFF"/>
        <w:spacing w:lineRule="auto" w:line="240"/>
        <w:ind w:left="11" w:right="266" w:hanging="11"/>
        <w:jc w:val="center"/>
        <w:rPr/>
      </w:pPr>
      <w:r>
        <w:rPr>
          <w:color w:val="000000"/>
          <w:spacing w:val="3"/>
          <w:sz w:val="28"/>
          <w:szCs w:val="28"/>
          <w:lang w:val="uk-UA"/>
        </w:rPr>
        <w:t>Про стан запровадження монетизованих пільг та субсидій на житлово-комунальні послуги протягом опалювального періоду 2019-2020 років в територіальній громаді м. Покров</w:t>
      </w:r>
    </w:p>
    <w:p>
      <w:pPr>
        <w:pStyle w:val="NormalWeb"/>
        <w:spacing w:lineRule="auto" w:line="240" w:beforeAutospacing="0" w:before="0" w:afterAutospacing="0" w:after="0"/>
        <w:jc w:val="both"/>
        <w:rPr>
          <w:rStyle w:val="Style15"/>
          <w:i w:val="false"/>
          <w:i w:val="false"/>
          <w:iCs w:val="false"/>
          <w:sz w:val="28"/>
          <w:szCs w:val="28"/>
          <w:highlight w:val="yellow"/>
        </w:rPr>
      </w:pPr>
      <w:r>
        <w:rPr>
          <w:i w:val="false"/>
          <w:iCs w:val="false"/>
          <w:sz w:val="28"/>
          <w:szCs w:val="28"/>
          <w:highlight w:val="yellow"/>
        </w:rPr>
      </w:r>
    </w:p>
    <w:p>
      <w:pPr>
        <w:pStyle w:val="NormalWeb"/>
        <w:spacing w:lineRule="auto" w:line="240" w:beforeAutospacing="0" w:before="0" w:afterAutospacing="0" w:after="0"/>
        <w:jc w:val="both"/>
        <w:rPr>
          <w:rStyle w:val="Style15"/>
          <w:i w:val="false"/>
          <w:i w:val="false"/>
          <w:iCs w:val="false"/>
          <w:sz w:val="28"/>
          <w:szCs w:val="28"/>
          <w:highlight w:val="yellow"/>
        </w:rPr>
      </w:pPr>
      <w:r>
        <w:rPr>
          <w:i w:val="false"/>
          <w:iCs w:val="false"/>
          <w:sz w:val="28"/>
          <w:szCs w:val="28"/>
          <w:highlight w:val="yellow"/>
        </w:rPr>
      </w:r>
    </w:p>
    <w:p>
      <w:pPr>
        <w:pStyle w:val="NormalWeb"/>
        <w:spacing w:lineRule="auto" w:line="240" w:beforeAutospacing="0" w:before="0" w:afterAutospacing="0" w:after="0"/>
        <w:ind w:firstLine="708"/>
        <w:jc w:val="both"/>
        <w:rPr/>
      </w:pPr>
      <w:bookmarkStart w:id="0" w:name="_GoBack"/>
      <w:bookmarkEnd w:id="0"/>
      <w:r>
        <w:rPr>
          <w:rStyle w:val="Style15"/>
          <w:i w:val="false"/>
          <w:iCs w:val="false"/>
          <w:sz w:val="28"/>
          <w:szCs w:val="28"/>
          <w:shd w:fill="FFFFFF" w:val="clear"/>
        </w:rPr>
        <w:t xml:space="preserve">Одним із основних видів державної підтримки, що здійснює управління – є реалізація державної програми житлових субсидій та пільг. </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В опалювальному періоді 2019-2020 років такий вид державної підтримки надавався враховуючи реформування системи надання пільг та житлових субсидій у грошовій формі. Змінено механізм  надання та розрахунку,  уповноважено управління на підставі єдиного державного автоматизованого реєстру самостійно розраховувати суму пільг з урахування встановлених тарифів та державних соціальних нормативів у сфері житлово-комунального обслуговування.</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1.СУБСИДІЇ.</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Житлову субсидію як вид державної безповоротної допомоги запроваджено у безготівковій формі ще з 1995 року постановою Кабінету Міністрів України №848, до якої на звітну дату  внесено 53 зміни та доповнення. Тільки у 2019 році їх було 6.</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З метою удосконалення спрощення та підвищення ефективності  такої державної підтримки субсидія у звітному періоді надавалася відповідно до постанови кабміну № 373 від 27.04.2019 року. Однією із суттєвих змін стало переведення  домогосподарств, які у попередньому опалювальному періоді отримували субсидію та не мали заборгованості  перед надавачами послуг на готівкову форму розрахунку безпосередньо через Мінсоцполітики на підставі сформованих управлінням реєстрів. Для тих, хто звернувся вперше або наростив заборгованість субсидія виплачувалась безготівковою формою виплати через АТ «Ощадбанк». Для цього запроваджено механізм обміну між управлінням, Міністерством соціальної політики України, АТ «Ощадбанк», АТ «Укрпошта» та уповноваженими банками через інформаційні системи Мінсоцполітики.</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 xml:space="preserve">Значна кількість змін  у порядку надання субсидії за відносно невеликий проміжок часу породжує недосконалість програмного забезпечення, яке оновлюється по декілька разів на місяць, внаслідок чого невірно розраховувалися житлові субсидії, що в свою чергу породжувало справедливі нарікання з боку їх отримувачів та письмові звернення на гарячі лінії установ різного рівня. Як наслідок відпрацьовано та надано ґрунтовних роз’яснень на 79 звернень та посилено інформаційно-роз’яснювальну роботу як через засоби масової інформації, так і безпосередньо за місцем проживання мешканців територіальної громади, у тому числі через роботу Мобільного соціального офісу із застосуванням мобільного кейсу. Проводяться індивідуальні консультації за телефоном  гарячої лінії, проводився щотижневий прийом в селищі Олександрівка. Крім того з 1 січня поточного року до штатного розпису управління введено додаткову штатну одиницю – спеціаліста І категорії, який здійснює прийом громадян безпосередньо в Шолоховському старостинському окрузі. З метою прискорення прийому та  опрацювання  звернень в управлінні встановлено придбаний за рахунок коштів міського бюджету програмний продукт «Реєстр справ», налагоджена тісна співпраця з центром надання адміністративних послуг, куди громадяни також можуть звернутись за отриманням адміністративних послуг соціального спрямування. </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У нашому місті за статистичними даними обліковується 17.3 тисячі домогосподарств, з них в опалювальний період 2019-2020 років, який тривав з 15 жовтня по 15 квітня, субсидією скористались 5134 домогосподарства, що становить 29,7% від їх загальної кількості. З них 4967 отримали субсидію готівкою та 167 у безготівковій формі. Крім того, було опрацьовано 549 звернень щодо призначення субсидії, яка не вирахувалася по доходам. З вищезазначеної кількості отримувачів житлової субсидії 3992 родини складаються лише з непрацездатних пенсіонерів, 526 родин мають у складі непрацездатних осіб та в 616 родинах є неповнолітні діти.</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 xml:space="preserve">Із загальної кількості отримувачів житлової субсидії 63,7% сімей складаються з 1 члена сім’ї, 26,7% - мають в складі сім’ї 2 особи, 5,6% - 3 особи, 2,8% - 4  особи, 1,2% з 5 та більше осіб. </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При розрахунку субсидії застосовуються соціальні норми та нормативи, що безпосередньо впливає на її розмір.  Так чинними нормами з жовтня 2019 року зменшено соціальну норму використання природного газу на опалення  з 4,5м</w:t>
      </w:r>
      <w:r>
        <w:rPr>
          <w:rStyle w:val="Style15"/>
          <w:i w:val="false"/>
          <w:iCs w:val="false"/>
          <w:sz w:val="28"/>
          <w:szCs w:val="28"/>
          <w:shd w:fill="FFFFFF" w:val="clear"/>
          <w:vertAlign w:val="superscript"/>
        </w:rPr>
        <w:t xml:space="preserve">3 </w:t>
      </w:r>
      <w:r>
        <w:rPr>
          <w:rStyle w:val="Style15"/>
          <w:i w:val="false"/>
          <w:iCs w:val="false"/>
          <w:sz w:val="28"/>
          <w:szCs w:val="28"/>
          <w:shd w:fill="FFFFFF" w:val="clear"/>
        </w:rPr>
        <w:t>до 4,0 м</w:t>
      </w:r>
      <w:r>
        <w:rPr>
          <w:rStyle w:val="Style15"/>
          <w:i w:val="false"/>
          <w:iCs w:val="false"/>
          <w:sz w:val="28"/>
          <w:szCs w:val="28"/>
          <w:shd w:fill="FFFFFF" w:val="clear"/>
          <w:vertAlign w:val="superscript"/>
        </w:rPr>
        <w:t xml:space="preserve">3 </w:t>
      </w:r>
      <w:r>
        <w:rPr>
          <w:rStyle w:val="Style15"/>
          <w:i w:val="false"/>
          <w:iCs w:val="false"/>
          <w:sz w:val="28"/>
          <w:szCs w:val="28"/>
          <w:shd w:fill="FFFFFF" w:val="clear"/>
        </w:rPr>
        <w:t xml:space="preserve"> на 1 м</w:t>
      </w:r>
      <w:r>
        <w:rPr>
          <w:rStyle w:val="Style15"/>
          <w:i w:val="false"/>
          <w:iCs w:val="false"/>
          <w:sz w:val="28"/>
          <w:szCs w:val="28"/>
          <w:shd w:fill="FFFFFF" w:val="clear"/>
          <w:vertAlign w:val="superscript"/>
        </w:rPr>
        <w:t xml:space="preserve">2 </w:t>
      </w:r>
      <w:r>
        <w:rPr>
          <w:rStyle w:val="Style15"/>
          <w:i w:val="false"/>
          <w:iCs w:val="false"/>
          <w:sz w:val="28"/>
          <w:szCs w:val="28"/>
          <w:shd w:fill="FFFFFF" w:val="clear"/>
        </w:rPr>
        <w:t>. Відповідно зменшується розрахункова вартість опалення, а це призводить до зменшення розміру субсидії.  Зазначене з урахуванням підвищення доходу громадян зумовило зменшення кількості отримувачів житлової субсидії на 1176 осіб, або на 18,6% у порівнянні з аналогічним попереднім опалювальним періодом. У зв’язку із щомісячними змінами цін на природних газ для побутових споживачів та змінами тарифів з оплати житла нами проведено 43 347 перерахунків субсидії. Крім того, введено послуги з постачання та розподілу природного газу, що призвело до повного перерахунку житлової субсидії у лютому 2020 року з урахуванням послуги транспортування газу. Також у зв’язку з введенням карантину через КОВІД-19 урядом було збільшено соціальні нормативи споживання водо-,  електро- та газопостачання, що потребувало перерахунку усіх діючих субсидій саме за цими послугами. Середньомісячний розмір субсидії на 1 домогосподарство склав  890,7 грн. проти 1281,36 грн. у 2018-2019 опалювальному періоді, тобто знизився на 30,5 %.</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Призначення субсидій на загальних підставі, як і раніше , відбувається за наявності лише 2-х документів: заяви та декларації. Скасована необхідність надання довідок про доходи, у тому числі і працюючих осіб. Запроваджено принцип призначення субсидії на підставі задекларованих заявником джерел доходів. Тим громадянам, які не підпадають під загальний порядок , а таких 1513 сімей, субсидію було призначено за рішенням міської комісії, що уповноважена розглядати такі питання. В цьому випадку, крім заяви та декларації, заявниками надаються підтверджуючі документи для об’єктивного прийняття рішення. 879 автоматично були перераховані з минулого опалювального періоду а в звітному періоді розглянуто 634 справи. В основному це:</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 xml:space="preserve">- самотньо проживаючі непрацездатні особи на збільшення площі, що перевищує соціальну норму; </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 без урахування зареєстрованих осіб, які фактично не проживають.</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Із зазначеної кількості лише 9 домогосподарств отримали відмову. В основному це домогосподарства, які мають в складі сім’ї працездатних осіб, що перебувають за кордоном та не сплачують єдиний соціальний внесок.</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Загальна сума коштів перерахованих з державного бюджету на оплату житлових субсидій у звітному періоді складає 29 453 188,03 грн.</w:t>
      </w:r>
    </w:p>
    <w:p>
      <w:pPr>
        <w:pStyle w:val="Normal"/>
        <w:spacing w:lineRule="auto" w:line="240"/>
        <w:ind w:firstLine="600"/>
        <w:jc w:val="both"/>
        <w:rPr/>
      </w:pPr>
      <w:r>
        <w:rPr>
          <w:color w:val="000000"/>
          <w:sz w:val="28"/>
          <w:szCs w:val="28"/>
          <w:lang w:val="uk-UA"/>
        </w:rPr>
        <w:t xml:space="preserve">Достовірність наданої в заяві та декларації інформації перевіряє державний соціальний інспектор шляхом запитів. </w:t>
      </w:r>
      <w:r>
        <w:rPr>
          <w:sz w:val="28"/>
          <w:szCs w:val="28"/>
          <w:lang w:val="uk-UA"/>
        </w:rPr>
        <w:t>Протягом опалювального періоду 2019 - 2020 р.р. державними соціальними інспекторами здійснено 2548  перевірок достовірності поданої інформації про доходи та майновий стан одержувачів  державних допомог та осіб, які входять до складу їх сімей. Під постійним контролем знаходяться повернення коштів, незаконно отриманих житлових субсидій, перевіркою виявлено 144 випадки неповної або недостовірної інформації про доходи та майновий стан, що призвели до фінансових втрат на суму 382254 грн.. Повернуто до бюджету 214641,27 грн.. Попереджено бюджетних правопорушень на суму 166693,66 грн..</w:t>
      </w:r>
    </w:p>
    <w:p>
      <w:pPr>
        <w:pStyle w:val="Normal"/>
        <w:spacing w:lineRule="auto" w:line="240"/>
        <w:ind w:firstLine="600"/>
        <w:jc w:val="both"/>
        <w:rPr/>
      </w:pPr>
      <w:r>
        <w:rPr>
          <w:sz w:val="28"/>
          <w:szCs w:val="28"/>
          <w:lang w:val="uk-UA"/>
        </w:rPr>
        <w:t>Подано до Орджонікідзевського  міського суду 4 позовних заяви щодо повернення надміру виплачених коштів по житловій субсидії на суму 54217,34 грн..</w:t>
      </w:r>
    </w:p>
    <w:p>
      <w:pPr>
        <w:pStyle w:val="Normal"/>
        <w:spacing w:lineRule="auto" w:line="240"/>
        <w:ind w:firstLine="540"/>
        <w:jc w:val="both"/>
        <w:rPr/>
      </w:pPr>
      <w:r>
        <w:rPr>
          <w:sz w:val="28"/>
          <w:szCs w:val="28"/>
          <w:lang w:val="uk-UA"/>
        </w:rPr>
        <w:t xml:space="preserve">Крім того, для забезпечення контролю за правильністю надання та призначення житлових субсидій здійснена вибіркова перевірка по 2835 особовим справам. </w:t>
      </w:r>
    </w:p>
    <w:p>
      <w:pPr>
        <w:pStyle w:val="NormalWeb"/>
        <w:spacing w:lineRule="auto" w:line="240" w:beforeAutospacing="0" w:before="0" w:afterAutospacing="0" w:after="0"/>
        <w:ind w:firstLine="708"/>
        <w:jc w:val="both"/>
        <w:rPr>
          <w:rStyle w:val="Style15"/>
          <w:i w:val="false"/>
          <w:i w:val="false"/>
          <w:iCs w:val="false"/>
          <w:sz w:val="28"/>
          <w:szCs w:val="28"/>
          <w:highlight w:val="white"/>
        </w:rPr>
      </w:pPr>
      <w:r>
        <w:rPr>
          <w:i w:val="false"/>
          <w:iCs w:val="false"/>
          <w:sz w:val="28"/>
          <w:szCs w:val="28"/>
          <w:highlight w:val="white"/>
        </w:rPr>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 xml:space="preserve">2. ПІЛЬГИ. </w:t>
      </w:r>
    </w:p>
    <w:p>
      <w:pPr>
        <w:pStyle w:val="NormalWeb"/>
        <w:spacing w:lineRule="auto" w:line="240" w:beforeAutospacing="0" w:before="0" w:afterAutospacing="0" w:after="0"/>
        <w:jc w:val="both"/>
        <w:rPr/>
      </w:pPr>
      <w:r>
        <w:rPr>
          <w:rStyle w:val="Style15"/>
          <w:i w:val="false"/>
          <w:iCs w:val="false"/>
          <w:sz w:val="28"/>
          <w:szCs w:val="28"/>
          <w:shd w:fill="FFFFFF" w:val="clear"/>
        </w:rPr>
        <w:tab/>
        <w:t>Надання пільг у грошовій формі на відміну від надання житлових субсидій, запроваджено з 1 жовтня 2019 року. Пільги надаються без урахування та з врахуванням середньомісячного сукупного доходу пільговика у готівковій та безготівковій формі. З урахуванням  доходу , який не перевищує соціальної податкової пільги, що станом на 01.01.2020 року складає 2940,0 грн. відносяться учасники війни (тил), діти війни, дружини померлих чорнобильців, сільські педагоги, медики,  бібліотекарі, працівники служби цивільного захисту , що перебувають  на пенсії, багатодітні сім’ї, дитячі будинки сімейного типу, прийомні сім’ї, сім’ї опікунів (піклувальників). Інші категорії отримують пільги незалежно від доходів.</w:t>
      </w:r>
    </w:p>
    <w:p>
      <w:pPr>
        <w:pStyle w:val="Normal"/>
        <w:spacing w:lineRule="auto" w:line="240"/>
        <w:ind w:firstLine="708"/>
        <w:jc w:val="both"/>
        <w:rPr/>
      </w:pPr>
      <w:r>
        <w:rPr>
          <w:color w:val="000000"/>
          <w:spacing w:val="2"/>
          <w:sz w:val="28"/>
          <w:szCs w:val="28"/>
          <w:lang w:val="uk-UA"/>
        </w:rPr>
        <w:t xml:space="preserve">Протягом опалювального періоду 2019-2020 р.р. право на пільги з оплати житлово-комунальних послуг мали 4,7 тис. громадян міста. Із них, нараховано пільг 1482 пільговикам, що становить 31,3 % від загальної кількості (у т.ч. 24 через комісію), з них 569 готівкою,  913 - у безготівковій формі. </w:t>
      </w:r>
    </w:p>
    <w:p>
      <w:pPr>
        <w:pStyle w:val="Normal"/>
        <w:spacing w:lineRule="auto" w:line="240"/>
        <w:ind w:firstLine="540"/>
        <w:jc w:val="both"/>
        <w:rPr/>
      </w:pPr>
      <w:r>
        <w:rPr>
          <w:sz w:val="28"/>
          <w:szCs w:val="28"/>
          <w:lang w:val="uk-UA"/>
        </w:rPr>
        <w:t xml:space="preserve"> </w:t>
      </w:r>
      <w:r>
        <w:rPr>
          <w:sz w:val="28"/>
          <w:szCs w:val="28"/>
          <w:lang w:val="uk-UA"/>
        </w:rPr>
        <w:t>Із загальної кількості отримувачів пільг в межах соціальних норм:</w:t>
      </w:r>
    </w:p>
    <w:p>
      <w:pPr>
        <w:pStyle w:val="Normal"/>
        <w:spacing w:lineRule="auto" w:line="240"/>
        <w:ind w:firstLine="540"/>
        <w:jc w:val="both"/>
        <w:rPr/>
      </w:pPr>
      <w:r>
        <w:rPr>
          <w:sz w:val="28"/>
          <w:szCs w:val="28"/>
          <w:lang w:val="uk-UA"/>
        </w:rPr>
        <w:t>- 100 домогосподарств мають 100% знижки;</w:t>
      </w:r>
    </w:p>
    <w:p>
      <w:pPr>
        <w:pStyle w:val="Normal"/>
        <w:spacing w:lineRule="auto" w:line="240"/>
        <w:ind w:firstLine="540"/>
        <w:jc w:val="both"/>
        <w:rPr/>
      </w:pPr>
      <w:r>
        <w:rPr>
          <w:sz w:val="28"/>
          <w:szCs w:val="28"/>
          <w:lang w:val="uk-UA"/>
        </w:rPr>
        <w:t>- 471 – отримують 75% знижку;</w:t>
      </w:r>
    </w:p>
    <w:p>
      <w:pPr>
        <w:pStyle w:val="Normal"/>
        <w:spacing w:lineRule="auto" w:line="240"/>
        <w:ind w:firstLine="540"/>
        <w:jc w:val="both"/>
        <w:rPr/>
      </w:pPr>
      <w:r>
        <w:rPr>
          <w:sz w:val="28"/>
          <w:szCs w:val="28"/>
          <w:lang w:val="uk-UA"/>
        </w:rPr>
        <w:t>- 480– 50% знижку</w:t>
      </w:r>
    </w:p>
    <w:p>
      <w:pPr>
        <w:pStyle w:val="Normal"/>
        <w:spacing w:lineRule="auto" w:line="240"/>
        <w:jc w:val="both"/>
        <w:rPr/>
      </w:pPr>
      <w:r>
        <w:rPr>
          <w:sz w:val="28"/>
          <w:szCs w:val="28"/>
          <w:lang w:val="uk-UA"/>
        </w:rPr>
        <w:t xml:space="preserve">       </w:t>
      </w:r>
      <w:r>
        <w:rPr>
          <w:sz w:val="28"/>
          <w:szCs w:val="28"/>
          <w:lang w:val="uk-UA"/>
        </w:rPr>
        <w:t>- 431  – 25% знижку.</w:t>
      </w:r>
    </w:p>
    <w:p>
      <w:pPr>
        <w:pStyle w:val="Normal"/>
        <w:spacing w:lineRule="auto" w:line="240"/>
        <w:ind w:firstLine="708"/>
        <w:jc w:val="both"/>
        <w:rPr/>
      </w:pPr>
      <w:r>
        <w:rPr>
          <w:color w:val="000000"/>
          <w:spacing w:val="2"/>
          <w:sz w:val="28"/>
          <w:szCs w:val="28"/>
          <w:lang w:val="uk-UA"/>
        </w:rPr>
        <w:t>Ще 3243 пільговики або обрали інший вид допомоги – житлову субсидію, або середньомісячний сукупний дохід сім’ї перевищує податкову соціальну пільгу. Для переходу з пільг на житлову субсидію або у зворотному  напрямку, пільговику в обов’язковому порядку необхідно звернутись до управління з відповідною заявою.</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Слід зазначити, що щомісячний розмір пільг не є сталим, а залежить від коливання цін на послуги, так як і в житлових субсидіях. Загальна сума перерахованих коштів на оплату пільг з державного бюджету становить                        5 895 813,76 грн.</w:t>
      </w:r>
    </w:p>
    <w:p>
      <w:pPr>
        <w:pStyle w:val="NormalWeb"/>
        <w:spacing w:lineRule="auto" w:line="240" w:beforeAutospacing="0" w:before="0" w:afterAutospacing="0" w:after="0"/>
        <w:ind w:firstLine="708"/>
        <w:jc w:val="both"/>
        <w:rPr/>
      </w:pPr>
      <w:r>
        <w:rPr>
          <w:rStyle w:val="Style15"/>
          <w:i w:val="false"/>
          <w:iCs w:val="false"/>
          <w:sz w:val="28"/>
          <w:szCs w:val="28"/>
          <w:shd w:fill="FFFFFF" w:val="clear"/>
        </w:rPr>
        <w:t>Всього на відшкодування пільг та субсидій перерахвано з державного бюджету 35 349 002 ,06 грн.</w:t>
      </w:r>
    </w:p>
    <w:p>
      <w:pPr>
        <w:pStyle w:val="Normal"/>
        <w:spacing w:lineRule="auto" w:line="240"/>
        <w:ind w:firstLine="708"/>
        <w:jc w:val="both"/>
        <w:rPr/>
      </w:pPr>
      <w:r>
        <w:rPr>
          <w:sz w:val="28"/>
          <w:szCs w:val="28"/>
          <w:lang w:val="uk-UA" w:eastAsia="uk-UA"/>
        </w:rPr>
        <w:t xml:space="preserve">З липня 2019 року в Україні запроваджено пілотний проект «Інтегрована інформаційна система «Соціальна громада», яка дає можливість здійснювати прийом документів в  старостинських округах та ЦНАПах, формування онлайн - справ з подальшою миттєвою  передачею до управління для опрацювання та прийняття рішення. Наказом Мінсоцполітики від 22.01.2020 №45 </w:t>
      </w:r>
      <w:r>
        <w:rPr>
          <w:color w:val="000000"/>
          <w:spacing w:val="2"/>
          <w:sz w:val="28"/>
          <w:szCs w:val="28"/>
          <w:lang w:val="uk-UA"/>
        </w:rPr>
        <w:t xml:space="preserve">«Про підключення до програмного комплексу «Інтегрована інформаційна система «Соціальна громада» </w:t>
      </w:r>
      <w:r>
        <w:rPr>
          <w:sz w:val="28"/>
          <w:szCs w:val="28"/>
          <w:lang w:val="uk-UA" w:eastAsia="uk-UA"/>
        </w:rPr>
        <w:t xml:space="preserve">передбачено    повний перехід здійснення документообігу між ЦНАПами , ОТГ та управліннями соцзахисту до 1 липня поточного року. Стимулом запровадження такої системи є відшкодування органам місцевого самоврядування коштів за кожну  сформовану та передану електронну справу коштів з державного бюджету. Окрім цього, </w:t>
      </w:r>
      <w:r>
        <w:rPr>
          <w:color w:val="000000"/>
          <w:spacing w:val="2"/>
          <w:sz w:val="28"/>
          <w:szCs w:val="28"/>
        </w:rPr>
        <w:t>постанов</w:t>
      </w:r>
      <w:r>
        <w:rPr>
          <w:color w:val="000000"/>
          <w:spacing w:val="2"/>
          <w:sz w:val="28"/>
          <w:szCs w:val="28"/>
          <w:lang w:val="uk-UA"/>
        </w:rPr>
        <w:t>ою</w:t>
      </w:r>
      <w:r>
        <w:rPr>
          <w:color w:val="000000"/>
          <w:spacing w:val="2"/>
          <w:sz w:val="28"/>
          <w:szCs w:val="28"/>
        </w:rPr>
        <w:t xml:space="preserve"> Кабінету Міністрів України від 17.07.2019 р. №676 </w:t>
      </w:r>
      <w:r>
        <w:rPr>
          <w:color w:val="000000"/>
          <w:spacing w:val="2"/>
          <w:sz w:val="28"/>
          <w:szCs w:val="28"/>
          <w:lang w:val="uk-UA"/>
        </w:rPr>
        <w:t>з 1 жовтня поточного року в рамках проекту «Модернізація системи соціальної підтримки населення України» за підтримки Світового банку запроваджується використання Єдиної інформаційно-аналітичної системи управління соціальною підтримкою населення України під час надання, призначення та виплати соціальної підтримки. На сьогоднішній день триває активне наповнення реєстрів, ідентифікаторів та класифікаторів системи.</w:t>
      </w:r>
    </w:p>
    <w:p>
      <w:pPr>
        <w:pStyle w:val="Normal"/>
        <w:spacing w:lineRule="auto" w:line="240"/>
        <w:ind w:firstLine="708"/>
        <w:jc w:val="both"/>
        <w:rPr/>
      </w:pPr>
      <w:r>
        <w:rPr>
          <w:color w:val="000000"/>
          <w:spacing w:val="2"/>
          <w:sz w:val="28"/>
          <w:szCs w:val="28"/>
          <w:lang w:val="uk-UA"/>
        </w:rPr>
        <w:t>Враховуючи вищезазначене, вважаємо що для підтримки високого рейтингу нашого міста у сфері прозорості, публічності та надання онлайн послуг необхідно вжити організаційні заходи та долучитись до використання електронних систем Міністерства соціальної політики України  у процесі надання адміністративних послуг соціального спрямування.</w:t>
      </w:r>
    </w:p>
    <w:p>
      <w:pPr>
        <w:pStyle w:val="Normal"/>
        <w:spacing w:lineRule="auto" w:line="240"/>
        <w:ind w:firstLine="708"/>
        <w:jc w:val="both"/>
        <w:rPr>
          <w:sz w:val="28"/>
          <w:szCs w:val="28"/>
        </w:rPr>
      </w:pPr>
      <w:r>
        <w:rPr>
          <w:color w:val="000000"/>
          <w:spacing w:val="2"/>
          <w:sz w:val="28"/>
          <w:szCs w:val="28"/>
          <w:lang w:val="uk-UA"/>
        </w:rPr>
        <w:t xml:space="preserve"> </w:t>
      </w:r>
    </w:p>
    <w:p>
      <w:pPr>
        <w:pStyle w:val="Normal"/>
        <w:spacing w:lineRule="auto" w:line="240"/>
        <w:ind w:firstLine="708"/>
        <w:jc w:val="both"/>
        <w:rPr>
          <w:color w:val="000000"/>
          <w:spacing w:val="2"/>
          <w:lang w:val="uk-UA"/>
        </w:rPr>
      </w:pPr>
      <w:r>
        <w:rPr>
          <w:color w:val="000000"/>
          <w:spacing w:val="2"/>
          <w:lang w:val="uk-UA"/>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widowControl/>
        <w:bidi w:val="0"/>
        <w:ind w:left="0" w:right="0" w:hanging="0"/>
        <w:jc w:val="both"/>
        <w:rPr>
          <w:sz w:val="28"/>
          <w:szCs w:val="28"/>
        </w:rPr>
      </w:pPr>
      <w:r>
        <w:rPr>
          <w:rFonts w:cs="Times New Roman"/>
          <w:sz w:val="28"/>
          <w:szCs w:val="28"/>
          <w:lang w:val="uk-UA"/>
        </w:rPr>
        <w:t xml:space="preserve">Начальник управління соціального захисту населення </w:t>
        <w:tab/>
        <w:tab/>
        <w:t>Т.М. Ігнатюк</w:t>
      </w:r>
      <w:bookmarkStart w:id="1" w:name="_Hlk27560753"/>
      <w:r>
        <w:rPr>
          <w:sz w:val="28"/>
          <w:szCs w:val="28"/>
        </w:rPr>
        <w:t xml:space="preserve">  </w:t>
      </w:r>
      <w:bookmarkEnd w:id="1"/>
    </w:p>
    <w:p>
      <w:pPr>
        <w:pStyle w:val="Normal"/>
        <w:ind w:left="6300" w:hanging="0"/>
        <w:rPr>
          <w:sz w:val="28"/>
          <w:szCs w:val="28"/>
        </w:rPr>
      </w:pPr>
      <w:r>
        <w:rPr>
          <w:sz w:val="28"/>
          <w:szCs w:val="28"/>
        </w:rPr>
      </w:r>
      <w:bookmarkStart w:id="2" w:name="_Hlk531943972"/>
      <w:bookmarkStart w:id="3" w:name="_Hlk531943972"/>
      <w:bookmarkEnd w:id="3"/>
    </w:p>
    <w:p>
      <w:pPr>
        <w:pStyle w:val="Normal"/>
        <w:ind w:left="6300" w:hanging="0"/>
        <w:rPr/>
      </w:pPr>
      <w:r>
        <w:rPr/>
      </w:r>
    </w:p>
    <w:sectPr>
      <w:type w:val="nextPage"/>
      <w:pgSz w:w="11906" w:h="16838"/>
      <w:pgMar w:left="1701" w:right="567" w:header="0" w:top="870" w:footer="0" w:bottom="122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Unicode MS">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2653"/>
    <w:pPr>
      <w:widowControl/>
      <w:bidi w:val="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133134"/>
    <w:rPr>
      <w:rFonts w:ascii="Times New Roman" w:hAnsi="Times New Roman" w:eastAsia="Lucida Sans Unicode" w:cs="Times New Roman"/>
      <w:sz w:val="24"/>
      <w:szCs w:val="20"/>
      <w:lang w:eastAsia="zh-CN"/>
    </w:rPr>
  </w:style>
  <w:style w:type="character" w:styleId="HTML" w:customStyle="1">
    <w:name w:val="Стандартный HTML Знак"/>
    <w:basedOn w:val="DefaultParagraphFont"/>
    <w:link w:val="HTML"/>
    <w:qFormat/>
    <w:rsid w:val="00133134"/>
    <w:rPr>
      <w:rFonts w:ascii="Arial Unicode MS" w:hAnsi="Arial Unicode MS" w:eastAsia="Arial Unicode MS" w:cs="Arial Unicode MS"/>
      <w:sz w:val="20"/>
      <w:szCs w:val="20"/>
      <w:lang w:eastAsia="zh-CN"/>
    </w:rPr>
  </w:style>
  <w:style w:type="character" w:styleId="Style15">
    <w:name w:val="Выделение"/>
    <w:basedOn w:val="DefaultParagraphFont"/>
    <w:qFormat/>
    <w:rPr>
      <w:i/>
      <w:iCs/>
    </w:rPr>
  </w:style>
  <w:style w:type="paragraph" w:styleId="Style16" w:customStyle="1">
    <w:name w:val="Заголовок"/>
    <w:basedOn w:val="Normal"/>
    <w:next w:val="Style17"/>
    <w:qFormat/>
    <w:rsid w:val="00c178f4"/>
    <w:pPr>
      <w:keepNext w:val="true"/>
      <w:spacing w:before="240" w:after="120"/>
    </w:pPr>
    <w:rPr>
      <w:rFonts w:ascii="Liberation Sans" w:hAnsi="Liberation Sans" w:eastAsia="Microsoft YaHei" w:cs="Arial"/>
      <w:sz w:val="28"/>
      <w:szCs w:val="28"/>
    </w:rPr>
  </w:style>
  <w:style w:type="paragraph" w:styleId="Style17">
    <w:name w:val="Body Text"/>
    <w:basedOn w:val="Normal"/>
    <w:rsid w:val="00133134"/>
    <w:pPr>
      <w:widowControl w:val="false"/>
      <w:suppressAutoHyphens w:val="true"/>
      <w:spacing w:before="0" w:after="120"/>
    </w:pPr>
    <w:rPr>
      <w:rFonts w:eastAsia="Lucida Sans Unicode"/>
      <w:szCs w:val="20"/>
      <w:lang w:eastAsia="zh-CN"/>
    </w:rPr>
  </w:style>
  <w:style w:type="paragraph" w:styleId="Style18">
    <w:name w:val="List"/>
    <w:basedOn w:val="Style17"/>
    <w:rsid w:val="00c178f4"/>
    <w:pPr/>
    <w:rPr>
      <w:rFonts w:cs="Arial"/>
    </w:rPr>
  </w:style>
  <w:style w:type="paragraph" w:styleId="Style19" w:customStyle="1">
    <w:name w:val="Caption"/>
    <w:basedOn w:val="Normal"/>
    <w:qFormat/>
    <w:rsid w:val="00c178f4"/>
    <w:pPr>
      <w:suppressLineNumbers/>
      <w:spacing w:before="120" w:after="120"/>
    </w:pPr>
    <w:rPr>
      <w:rFonts w:cs="Arial"/>
      <w:i/>
      <w:iCs/>
    </w:rPr>
  </w:style>
  <w:style w:type="paragraph" w:styleId="Style20">
    <w:name w:val="Указатель"/>
    <w:basedOn w:val="Normal"/>
    <w:qFormat/>
    <w:pPr>
      <w:suppressLineNumbers/>
    </w:pPr>
    <w:rPr>
      <w:rFonts w:cs="Arial"/>
    </w:rPr>
  </w:style>
  <w:style w:type="paragraph" w:styleId="Indexheading">
    <w:name w:val="index heading"/>
    <w:basedOn w:val="Normal"/>
    <w:qFormat/>
    <w:rsid w:val="00c178f4"/>
    <w:pPr>
      <w:suppressLineNumbers/>
    </w:pPr>
    <w:rPr>
      <w:rFonts w:cs="Arial"/>
    </w:rPr>
  </w:style>
  <w:style w:type="paragraph" w:styleId="NormalWeb">
    <w:name w:val="Normal (Web)"/>
    <w:basedOn w:val="Normal"/>
    <w:uiPriority w:val="99"/>
    <w:unhideWhenUsed/>
    <w:qFormat/>
    <w:rsid w:val="00ad2653"/>
    <w:pPr>
      <w:spacing w:beforeAutospacing="1" w:afterAutospacing="1"/>
    </w:pPr>
    <w:rPr>
      <w:lang w:val="uk-UA" w:eastAsia="uk-UA"/>
    </w:rPr>
  </w:style>
  <w:style w:type="paragraph" w:styleId="HTMLPreformatted">
    <w:name w:val="HTML Preformatted"/>
    <w:basedOn w:val="Normal"/>
    <w:qFormat/>
    <w:rsid w:val="0013313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Arial Unicode MS" w:hAnsi="Arial Unicode MS" w:eastAsia="Arial Unicode MS" w:cs="Arial Unicode MS"/>
      <w:sz w:val="20"/>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05B30-9A63-4779-9A60-51DFFF5D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Application>LibreOffice/6.2.8.2$Windows_X86_64 LibreOffice_project/f82ddfca21ebc1e222a662a32b25c0c9d20169ee</Application>
  <Pages>6</Pages>
  <Words>1788</Words>
  <Characters>12149</Characters>
  <CharactersWithSpaces>14205</CharactersWithSpaces>
  <Paragraphs>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2020-04-28T07:00:00Z</dcterms:created>
  <dc:creator>Пользователь Windows</dc:creator>
  <dc:description/>
  <dc:language>ru-RU</dc:language>
  <cp:lastModifiedBy/>
  <cp:lastPrinted>2020-05-18T09:39:00Z</cp:lastPrinted>
  <dcterms:modified xsi:type="dcterms:W3CDTF">2020-05-29T10:41:35Z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