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5147945</wp:posOffset>
                </wp:positionH>
                <wp:positionV relativeFrom="paragraph">
                  <wp:posOffset>-367030</wp:posOffset>
                </wp:positionV>
                <wp:extent cx="753110" cy="3340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00" cy="33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5.35pt;margin-top:-28.9pt;width:59.2pt;height:26.2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0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60960</wp:posOffset>
                </wp:positionV>
                <wp:extent cx="5751195" cy="7112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640" cy="70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454.05pt,7.5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20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13.03.2019                                       м. Покров                                        №  67-р</w:t>
      </w:r>
    </w:p>
    <w:p>
      <w:pPr>
        <w:pStyle w:val="Normal"/>
        <w:rPr/>
      </w:pPr>
      <w:r>
        <w:rPr/>
      </w:r>
    </w:p>
    <w:p>
      <w:pPr>
        <w:pStyle w:val="Style2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Плану </w:t>
      </w:r>
    </w:p>
    <w:p>
      <w:pPr>
        <w:pStyle w:val="Normal"/>
        <w:shd w:val="clear" w:color="auto" w:fill="FFFFFF"/>
        <w:spacing w:lineRule="auto" w:line="240" w:before="0" w:after="0"/>
        <w:ind w:right="450" w:hanging="0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заходів з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реалізації Концепції </w:t>
      </w:r>
    </w:p>
    <w:p>
      <w:pPr>
        <w:pStyle w:val="Normal"/>
        <w:shd w:val="clear" w:color="auto" w:fill="FFFFFF"/>
        <w:spacing w:lineRule="auto" w:line="240" w:before="0" w:after="0"/>
        <w:ind w:right="450" w:hanging="0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державної системи професійної</w:t>
      </w:r>
    </w:p>
    <w:p>
      <w:pPr>
        <w:pStyle w:val="Normal"/>
        <w:shd w:val="clear" w:color="auto" w:fill="FFFFFF"/>
        <w:spacing w:lineRule="auto" w:line="240" w:before="0" w:after="0"/>
        <w:ind w:right="450" w:hanging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орієнтації населення </w:t>
      </w:r>
      <w:r>
        <w:rPr>
          <w:rFonts w:ascii="Times New Roman" w:hAnsi="Times New Roman"/>
          <w:sz w:val="28"/>
          <w:szCs w:val="28"/>
          <w:lang w:eastAsia="uk-UA"/>
        </w:rPr>
        <w:t>в м. Покров</w:t>
      </w:r>
    </w:p>
    <w:p>
      <w:pPr>
        <w:pStyle w:val="Normal"/>
        <w:shd w:val="clear" w:color="auto" w:fill="FFFFFF"/>
        <w:spacing w:lineRule="auto" w:line="240"/>
        <w:ind w:right="450" w:hanging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Style2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Керуючись п. 4.20 статті 42 Закону України «Про місцеве самоврядування в Україні», на виконання розпорядження  Кабінету Міністрів від 04 липня 2018 року № 469-р «</w:t>
      </w:r>
      <w:r>
        <w:rPr>
          <w:bCs/>
          <w:color w:val="000000"/>
          <w:sz w:val="28"/>
          <w:szCs w:val="28"/>
          <w:lang w:eastAsia="uk-UA"/>
        </w:rPr>
        <w:t>Про затвердження плану заходів з реалізації Концепції державної системи професійної орієнтації населення</w:t>
      </w:r>
      <w:r>
        <w:rPr>
          <w:sz w:val="28"/>
          <w:szCs w:val="28"/>
        </w:rPr>
        <w:t xml:space="preserve">», з метою забезпечення реалізації державної політики зайнятості населення, </w:t>
      </w:r>
      <w:r>
        <w:rPr>
          <w:sz w:val="28"/>
          <w:szCs w:val="28"/>
          <w:lang w:eastAsia="uk-UA"/>
        </w:rPr>
        <w:t>розвитку системи професійної орієнтації</w:t>
      </w:r>
    </w:p>
    <w:p>
      <w:pPr>
        <w:pStyle w:val="Style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ЗОБОВ’ЯЗУЮ:</w:t>
      </w:r>
    </w:p>
    <w:p>
      <w:pPr>
        <w:pStyle w:val="Style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Затвердити План заходів з </w:t>
      </w:r>
      <w:r>
        <w:rPr>
          <w:bCs/>
          <w:color w:val="000000"/>
          <w:sz w:val="28"/>
          <w:szCs w:val="28"/>
          <w:lang w:eastAsia="uk-UA"/>
        </w:rPr>
        <w:t>реалізації Концепції державної системи професійної орієнтації населення</w:t>
      </w:r>
      <w:r>
        <w:rPr>
          <w:sz w:val="28"/>
          <w:szCs w:val="28"/>
        </w:rPr>
        <w:t xml:space="preserve"> в м. Покров  (додається).</w:t>
      </w:r>
    </w:p>
    <w:p>
      <w:pPr>
        <w:pStyle w:val="Normal"/>
        <w:shd w:val="clear" w:color="auto" w:fill="FFFFFF"/>
        <w:spacing w:before="0" w:after="15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Керівникам підприємств, організацій та установ міста забезпечити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 установлені строки виконання Плану заходів, затвердженого цим розпорядженням 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щороку</w:t>
      </w:r>
      <w:r>
        <w:rPr>
          <w:rFonts w:ascii="Times New Roman" w:hAnsi="Times New Roman"/>
          <w:sz w:val="28"/>
          <w:szCs w:val="28"/>
        </w:rPr>
        <w:t xml:space="preserve"> до 10 січня, що настає за звітним роком, інформувати управління праці та соціального захисту населення про хід його виконання.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Координацію  роботи щодо виконання цього розпорядження покласти на начальника управління праці та соціального захисту населення Ігнатюк Т.М.,  контроль - на заступника міського голови Бондаренко Н.О.</w:t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 xml:space="preserve">                      </w:t>
        <w:tab/>
        <w:t xml:space="preserve">        </w:t>
        <w:tab/>
        <w:t xml:space="preserve">                 О.М. Шаповал</w:t>
      </w:r>
    </w:p>
    <w:p>
      <w:pPr>
        <w:pStyle w:val="Normal"/>
        <w:tabs>
          <w:tab w:val="clear" w:pos="708"/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20"/>
        <w:ind w:firstLine="708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20"/>
        <w:ind w:hanging="0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20"/>
        <w:ind w:firstLine="708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20"/>
        <w:ind w:firstLine="708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20"/>
        <w:ind w:firstLine="708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20"/>
        <w:ind w:firstLine="708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20"/>
        <w:ind w:firstLine="708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20"/>
        <w:ind w:firstLine="708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20"/>
        <w:ind w:firstLine="708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20"/>
        <w:ind w:firstLine="708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20"/>
        <w:ind w:firstLine="708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20"/>
        <w:ind w:firstLine="708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20"/>
        <w:ind w:firstLine="708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20"/>
        <w:ind w:firstLine="708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9498" w:hanging="39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ind w:left="558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rmal"/>
        <w:spacing w:lineRule="auto" w:line="240" w:before="0" w:after="0"/>
        <w:ind w:left="558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13.03.2019   № 67-р  </w:t>
      </w:r>
    </w:p>
    <w:p>
      <w:pPr>
        <w:pStyle w:val="Normal"/>
        <w:shd w:val="clear" w:color="auto" w:fill="FFFFFF"/>
        <w:ind w:left="450" w:right="450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r>
    </w:p>
    <w:p>
      <w:pPr>
        <w:pStyle w:val="Normal"/>
        <w:shd w:val="clear" w:color="auto" w:fill="FFFFFF"/>
        <w:spacing w:lineRule="auto" w:line="240"/>
        <w:ind w:left="450" w:right="45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заходів з реалізації </w:t>
      </w:r>
      <w:hyperlink r:id="rId3" w:tgtFrame="_blank">
        <w:r>
          <w:rPr>
            <w:rStyle w:val="ListLabel1"/>
            <w:rFonts w:ascii="Times New Roman" w:hAnsi="Times New Roman"/>
            <w:b/>
            <w:bCs/>
            <w:sz w:val="28"/>
            <w:szCs w:val="28"/>
            <w:lang w:eastAsia="uk-UA"/>
          </w:rPr>
          <w:t>Концепції державної системи професійної орієнтації населення</w:t>
        </w:r>
      </w:hyperlink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в м. Покров</w:t>
      </w:r>
    </w:p>
    <w:tbl>
      <w:tblPr>
        <w:tblW w:w="4900" w:type="pct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62"/>
        <w:gridCol w:w="7052"/>
        <w:gridCol w:w="5216"/>
        <w:gridCol w:w="1447"/>
      </w:tblGrid>
      <w:tr>
        <w:trPr>
          <w:trHeight w:val="20" w:hRule="atLeast"/>
        </w:trPr>
        <w:tc>
          <w:tcPr>
            <w:tcW w:w="7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0" w:name="n12"/>
            <w:bookmarkEnd w:id="0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Найменування заходів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Відповідальні за виконання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Строк виконання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Надання індивідуальних профорієнтаційних послуг, послуг з профдіагностичного тестування дітям з інвалідністю у т.ч.  тим, що охоплені індивідуальними формами здобуття освіти з метою мотивації до свідомого вибору майбутньої професії, а також особам з інвалідністю відповідно до їх професійних навичок, знань, індивідуальної програми реабілітації та з урахуванням побажань щодо умов праці та потреб ринку праці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Покровська міська філія Дніпропетровського обласного центру зайнятості, управління праці та соціального захисту населення,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управління освіти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</w:r>
          </w:p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профорієнтаційної роботи з молоддю із залученням  роботодавців, громадських організацій  з метою мотивації до вибору робітничих професій, необхідних у реальному секторі економіки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Покровська міська філія Дніпропетровського обласного центру зайнятості, відділ економіки, 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правління освіти, роботодавці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</w:r>
          </w:p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50" w:after="15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Участь у заходах  центру професійної кар’єри з метою забезпечення професійного консультування молоді щодо адаптації до умов ринку праці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Покровська міська філія     Дніпропетровського обласного центру зайнятості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2019-2022 роки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50" w:after="15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Сприяння залученню молоді до участі в реалізації інноваційних проектів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Відділ молоді та спорту</w:t>
            </w: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Молодіжна рада,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управління освіти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міських  конкурсів фахової майстерності,</w:t>
            </w:r>
          </w:p>
          <w:p>
            <w:pPr>
              <w:pStyle w:val="Normal"/>
              <w:spacing w:lineRule="auto" w:line="240" w:before="150" w:after="15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майстер-класів  із залученням молоді у т.ч. учнівської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культури, Покровська міська філія Дніпропетровського обласного центру зайнятості, відділ молоді та спорту, управління освіти, роботодавці</w:t>
            </w:r>
            <w:bookmarkStart w:id="1" w:name="_GoBack"/>
            <w:bookmarkEnd w:id="1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Організація та проведення для учнівської молоді профорієнтаційних проектів: квест  «Я – профі», «Професія поряд», «День кар’єри », «Професіографічна  екскурсія», «Профі - літо», «Я маю право», тощо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Покровська міська філія Дніпропетровського обласного центру зайнятості, управління освіти,  роботодавці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50" w:after="15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Надання н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 офіційний веб-сайт міської ради інформації  профорієнтаційного спрямування  з метою свідомого вибору професії майбутніми випускниками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населення, Покровська міська філія Дніпропетровського обласного центру зайнятості, управління освіти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2019-2023 роки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50" w:after="15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Сприяння широкому висвітленню в засобах масової інформації заходів, пов’язаних з професійною орієнтацією населення. Створення  в мережі Фейсбук групи  для висвітлення корисної інформації з профорієнтації, запланованих та проведених заходів у місті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Покровська міська філія Дніпропетровського обласного центру зайнятості, управління освіти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50" w:after="15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Проведення профорієнтаційної роботи з населенням, у тому числі з молоддю, з метою орієнтації на самозайнятість та підприємницьку діяльність. Залучення успішних підприємців  для обміну досвідом щодо провадження підприємницької діяльності та розвитку бізнесу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Покровська міська філія Дніпропетровського обласного центру зайнятості, відділ економіки виконкому, управління праці та соціального захисту населення, державна податкова інспекція у м. Покрові, відділ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молоді та спорту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50" w:after="15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Популяризація он-лайн платформи профорієнтації  та розвитку кар’єри Державної служби зайнятості та «Моя професія-консультаційна мережа»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Покровська міська філія Дніпропетровського обласного центру зайнятості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50" w:after="15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Забезпечення надання профорієнтаційних послуг здобувачам повної загальної середньої, професійної (професійно-технічної) та особам із числа непрацевлаштованої молоді, які звернулися до державної служби зайнятості з метою усвідомленого вибору ними актуальних на ринку праці професій, а також подальшого навчання та працевлаштування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Покровська міська філія Дніпропетровського обласного центру зайнятості</w:t>
            </w:r>
          </w:p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50" w:after="15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Забезпечення надання профорієнтаційних послуг особам віком старше 45 років з метою формування в них конструктивної стратегії поведінки на ринку праці, сприяння підвищенню рівня їх соціальної та професійної мобільності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20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Покровська міська філія Дніпропетровського обласного центру зайнятості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50" w:after="15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Забезпечення професійної орієнтації та переорієнтації безробітних, зайнятого населення, вивільнюваних працівників з урахуванням потреб особистості та ринку праці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Покровська міська філія Дніпропетровського обласного центру зайнятості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50" w:after="15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Сприяння професійній орієнтації, переорієнтації та адаптації військовослужбовців, які звільняються або звільнені з військової служби, та осіб, які брали участь в антитерористичній операції або заходах із забезпечення національної безпеки та оборони, відсічі та стримування збройної агресії Російської Федерації у Донецькій та Луганській областях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Покровська міська філія Дніпропетровського обласного центру зайнятості, управління праці та соціального захисту населення, міська спілка воїнів  учасників антитерористичної операції м. Покров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50" w:after="15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Сприяння підвищенню престижу військової професії та мотивації населення, у тому числі молоді, до проходження військової служби з урахуванням принципу гендерної рівності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Міський територіальний центр комплектування та соціальної підтримки, Покровська міська філія Дніпропетровського обласного центру зайнятості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50" w:after="15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Сприяння інтеграції та проведенню профорієнтаційної та профадаптаційної роботи із засудженими до позбавлення та обмеження волі в установах виконання покарань, у тому числі молоддю, яка здобуває освіту в закладах при виправних колоніях, а також з особами, звільненими з цих установ та особам які засуджені без позбавлення волі та перебувають на обліку в центрі пробації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Покровська міська філія Дніпропетровського обласного центру зайнятості, державна установа  «Покровський виправний центр(№79)», Покровський міській сектор філії державної установи «Центр пробації » у Дніпропетровській області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50" w:after="15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Забезпечення професійної орієнтації, переорієнтації  внутрішньо переміщених осіб з урахуванням актуальних професій на ринку праці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Покровська міська філія Дніпропетровського обласного центру зайнятості, управління праці та соціального захисту населення, центр соціальних служб сім’ї, дітей та молоді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аналізу результатів профорієнтаційної роботи за такими показниками, як кількість та ефективність здійснених спільних профорієнтаційних заходів, наданих послуг, чисельність осіб, охоплених такими послугами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Покровська міська філія Дніпропетровського обласного центру зайнятості, управління праці та соціального захисту населення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роботодавці (за згодою)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50" w:after="15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Начальник управління праці та 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соціального захисту населення                                                                                                   Т.М. Ігнатюк</w:t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spacing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orient="landscape" w:w="16838" w:h="11906"/>
      <w:pgMar w:left="1701" w:right="567" w:header="720" w:top="851" w:footer="0" w:bottom="85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lang w:val="uk-UA"/>
      </w:rPr>
    </w:pPr>
    <w:r>
      <w:rPr>
        <w:lang w:val="uk-UA"/>
      </w:rP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4" name="Рам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  <w:rFonts w:eastAsia="OpenSymbol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eastAsia="OpenSymbo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eastAsia="OpenSymbo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eastAsia="OpenSymbol"/>
                            </w:rPr>
                            <w:t>7</w:t>
                          </w:r>
                          <w:r>
                            <w:rPr>
                              <w:rStyle w:val="Pagenumber"/>
                              <w:rFonts w:eastAsia="OpenSymbol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Рамка1" fillcolor="white" stroked="f" style="position:absolute;margin-left:361.7pt;margin-top:0.05pt;width:5pt;height:11.4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  <w:rFonts w:eastAsia="OpenSymbol"/>
                        <w:color w:val="auto"/>
                      </w:rPr>
                      <w:fldChar w:fldCharType="begin"/>
                    </w:r>
                    <w:r>
                      <w:rPr>
                        <w:rStyle w:val="Pagenumber"/>
                        <w:rFonts w:eastAsia="OpenSymbol"/>
                      </w:rPr>
                      <w:instrText> PAGE </w:instrText>
                    </w:r>
                    <w:r>
                      <w:rPr>
                        <w:rStyle w:val="Pagenumber"/>
                        <w:rFonts w:eastAsia="OpenSymbol"/>
                      </w:rPr>
                      <w:fldChar w:fldCharType="separate"/>
                    </w:r>
                    <w:r>
                      <w:rPr>
                        <w:rStyle w:val="Pagenumber"/>
                        <w:rFonts w:eastAsia="OpenSymbol"/>
                      </w:rPr>
                      <w:t>7</w:t>
                    </w:r>
                    <w:r>
                      <w:rPr>
                        <w:rStyle w:val="Pagenumber"/>
                        <w:rFonts w:eastAsia="OpenSymbol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452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034523"/>
    <w:rPr/>
  </w:style>
  <w:style w:type="character" w:styleId="Style14" w:customStyle="1">
    <w:name w:val="Основной текст Знак"/>
    <w:qFormat/>
    <w:rsid w:val="0003452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034523"/>
    <w:rPr>
      <w:rFonts w:ascii="OpenSymbol" w:hAnsi="OpenSymbol" w:eastAsia="OpenSymbol" w:cs="OpenSymbol"/>
    </w:rPr>
  </w:style>
  <w:style w:type="character" w:styleId="Style16" w:customStyle="1">
    <w:name w:val="Верхний колонтитул Знак"/>
    <w:basedOn w:val="DefaultParagraphFont"/>
    <w:link w:val="a9"/>
    <w:qFormat/>
    <w:rsid w:val="006d7508"/>
    <w:rPr>
      <w:lang w:val="ru-RU" w:eastAsia="ru-RU"/>
    </w:rPr>
  </w:style>
  <w:style w:type="character" w:styleId="Pagenumber">
    <w:name w:val="page number"/>
    <w:basedOn w:val="DefaultParagraphFont"/>
    <w:qFormat/>
    <w:rsid w:val="006d7508"/>
    <w:rPr/>
  </w:style>
  <w:style w:type="character" w:styleId="Style17" w:customStyle="1">
    <w:name w:val="Текст выноски Знак"/>
    <w:basedOn w:val="DefaultParagraphFont"/>
    <w:link w:val="ad"/>
    <w:uiPriority w:val="99"/>
    <w:semiHidden/>
    <w:qFormat/>
    <w:rsid w:val="007e6e13"/>
    <w:rPr>
      <w:rFonts w:ascii="Segoe UI" w:hAnsi="Segoe UI" w:eastAsia="Calibri" w:cs="Segoe UI"/>
      <w:sz w:val="18"/>
      <w:szCs w:val="18"/>
      <w:lang w:eastAsia="zh-CN"/>
    </w:rPr>
  </w:style>
  <w:style w:type="character" w:styleId="ListLabel1">
    <w:name w:val="ListLabel 1"/>
    <w:qFormat/>
    <w:rPr>
      <w:rFonts w:ascii="Times New Roman" w:hAnsi="Times New Roman"/>
      <w:b/>
      <w:bCs/>
      <w:sz w:val="28"/>
      <w:szCs w:val="28"/>
      <w:lang w:eastAsia="uk-UA"/>
    </w:rPr>
  </w:style>
  <w:style w:type="character" w:styleId="Style18">
    <w:name w:val="Гіперпосилання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/>
      <w:b/>
      <w:bCs/>
      <w:sz w:val="28"/>
      <w:szCs w:val="28"/>
      <w:lang w:eastAsia="uk-UA"/>
    </w:rPr>
  </w:style>
  <w:style w:type="paragraph" w:styleId="Style19" w:customStyle="1">
    <w:name w:val="Заголовок"/>
    <w:basedOn w:val="Normal"/>
    <w:next w:val="Style20"/>
    <w:qFormat/>
    <w:rsid w:val="0003452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03452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1">
    <w:name w:val="List"/>
    <w:basedOn w:val="Style20"/>
    <w:rsid w:val="00034523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0345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034523"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rsid w:val="00034523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Style24">
    <w:name w:val="Header"/>
    <w:basedOn w:val="Normal"/>
    <w:link w:val="aa"/>
    <w:rsid w:val="006d7508"/>
    <w:pPr>
      <w:tabs>
        <w:tab w:val="clear" w:pos="708"/>
        <w:tab w:val="center" w:pos="4677" w:leader="none"/>
        <w:tab w:val="right" w:pos="9355" w:leader="none"/>
      </w:tabs>
      <w:suppressAutoHyphens w:val="false"/>
      <w:spacing w:lineRule="auto" w:line="240" w:before="0" w:after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7e6e1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a71b6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zakon.rada.gov.ua/laws/show/842-2008-&#1087;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МГ.dot</Template>
  <TotalTime>115</TotalTime>
  <Application>LibreOffice/6.1.4.2$Windows_x86 LibreOffice_project/9d0f32d1f0b509096fd65e0d4bec26ddd1938fd3</Application>
  <Pages>7</Pages>
  <Words>944</Words>
  <Characters>6911</Characters>
  <CharactersWithSpaces>8293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2019-03-12T09:51:00Z</dcterms:created>
  <dc:creator>Nina</dc:creator>
  <dc:description/>
  <dc:language>uk-UA</dc:language>
  <cp:lastModifiedBy/>
  <cp:lastPrinted>2019-03-15T07:18:00Z</cp:lastPrinted>
  <dcterms:modified xsi:type="dcterms:W3CDTF">2019-03-20T08:56:10Z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