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_rels/chart9.xml.rels" ContentType="application/vnd.openxmlformats-package.relationships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10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embeddings/_____Microsoft_Excel9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12.xlsx" ContentType="application/vnd.openxmlformats-officedocument.spreadsheetml.sheet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2868295</wp:posOffset>
            </wp:positionH>
            <wp:positionV relativeFrom="paragraph">
              <wp:posOffset>-114300</wp:posOffset>
            </wp:positionV>
            <wp:extent cx="457200" cy="685800"/>
            <wp:effectExtent l="0" t="0" r="0" b="0"/>
            <wp:wrapNone/>
            <wp:docPr id="1" name="Рисунок 17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 xml:space="preserve">        </w:t>
      </w:r>
    </w:p>
    <w:p>
      <w:pPr>
        <w:pStyle w:val="BodyText2"/>
        <w:ind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копія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BodyText2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BC4BB1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640" cy="3175"/>
                <wp:effectExtent l="11430" t="13970" r="17145" b="13970"/>
                <wp:wrapNone/>
                <wp:docPr id="2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 xml:space="preserve">«25» липня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р.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>№287</w:t>
      </w:r>
    </w:p>
    <w:p>
      <w:pPr>
        <w:pStyle w:val="BodyText3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spacing w:before="0" w:after="0"/>
        <w:ind w:right="5952" w:hanging="0"/>
        <w:jc w:val="both"/>
        <w:rPr/>
      </w:pPr>
      <w:r>
        <w:rPr>
          <w:b w:val="false"/>
          <w:bCs w:val="false"/>
        </w:rPr>
        <w:t>Про аналіз впровадження системи енергетичного менеджменту на території              м. Покров</w:t>
      </w:r>
    </w:p>
    <w:p>
      <w:pPr>
        <w:pStyle w:val="Normal"/>
        <w:spacing w:lineRule="auto" w:line="240" w:before="0" w:after="0"/>
        <w:ind w:right="5952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Заслухавши інформацію начальника відділу економіки  про аналіз впровадження системи енергетичного менеджменту на території м. Покров, з метою підвищення ефективності використання паливно-енергетичних ресурсів, забезпечення виконання норм Положення про систему енергетичного менеджменту міста Покров, керуючись статтею 40 Закону України «Про місцеве самоврядування в Україні», виконавчий комітет міської ради </w:t>
      </w:r>
    </w:p>
    <w:p>
      <w:pPr>
        <w:pStyle w:val="Normal"/>
        <w:tabs>
          <w:tab w:val="left" w:pos="328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 Р І Ш И В:</w:t>
      </w:r>
    </w:p>
    <w:p>
      <w:pPr>
        <w:pStyle w:val="4"/>
        <w:tabs>
          <w:tab w:val="left" w:pos="709" w:leader="none"/>
        </w:tabs>
        <w:spacing w:before="0" w:after="0"/>
        <w:ind w:right="-1"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4"/>
        <w:tabs>
          <w:tab w:val="left" w:pos="709" w:leader="none"/>
        </w:tabs>
        <w:spacing w:before="0" w:after="0"/>
        <w:ind w:right="-1" w:firstLine="709"/>
        <w:jc w:val="both"/>
        <w:rPr/>
      </w:pPr>
      <w:r>
        <w:rPr>
          <w:b w:val="false"/>
        </w:rPr>
        <w:t xml:space="preserve">1. Інформацію начальника відділу економіки виконкому Покровської міської ради Глазкової О.Ю. </w:t>
      </w:r>
      <w:r>
        <w:rPr>
          <w:b w:val="false"/>
          <w:bCs w:val="false"/>
        </w:rPr>
        <w:t xml:space="preserve">про аналіз впровадження системи енергетичного менеджменту на території м. Покров </w:t>
      </w:r>
      <w:r>
        <w:rPr>
          <w:b w:val="false"/>
        </w:rPr>
        <w:t>прийняти до відома.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економіки Покровської міської ради (Глазкова О.Ю.) продовжити всебічне забезпечення розвитку енергетичної політики.</w:t>
      </w:r>
    </w:p>
    <w:p>
      <w:pPr>
        <w:pStyle w:val="4"/>
        <w:spacing w:before="0" w:after="0"/>
        <w:jc w:val="both"/>
        <w:rPr>
          <w:b w:val="false"/>
          <w:b w:val="false"/>
        </w:rPr>
      </w:pPr>
      <w:r>
        <w:rPr>
          <w:b w:val="false"/>
        </w:rPr>
        <w:tab/>
        <w:t>3. Контроль за виконанням цього рішення покласти на заступника міського голови Чистякова О.Г.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Секретар міської ради                                                                                 А.І. Пастух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Г</w:t>
      </w:r>
      <w:r>
        <w:rPr>
          <w:rFonts w:cs="Times New Roman" w:ascii="Times New Roman" w:hAnsi="Times New Roman"/>
          <w:sz w:val="20"/>
          <w:szCs w:val="20"/>
        </w:rPr>
        <w:t>лазкова О.Ю. 4-26-60</w:t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Звіт про аналіз впровадження системи енергетичного менеджменту на території м. Покров</w:t>
      </w:r>
    </w:p>
    <w:p>
      <w:pPr>
        <w:pStyle w:val="ListParagraph"/>
        <w:spacing w:before="0" w:after="0"/>
        <w:ind w:left="1068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Вступ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найактуальніших проблем сучасного суспільства належить організація раціонального енергоспоживання з мінімальним негативним впливом на навколишнє середовище, обачливим використанням енергетичних ресурсів за розумного та достатнього задоволення технологічних і побутових потреб громадян у всіх видах і формах енергії.</w:t>
        <w:tab/>
        <w:t>Проблема високого рівня енергоспоживання та необхідність підвищення енергоефективності у муніципальній сфері є актуальною для України. Питання енергоефективності з часом набуває все більшої актуальності, оскільки розглядається як один із основних елементів загальної енергетичної політики держави.</w:t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Досягти бажаного результату із ефективного енерговикористання в Україні можливо лише за умови, що буде створена відповідна ефективно діюча система енергетичного менеджменту на всіх рівнях управління і забезпечено умови її сприйняття громадськістю України. Саме ця система повинна стати в Україні ключовим інструментом у формуванні енергоефективної та екологічно безпечної моделі територіальної громади, зменшення викидів парникових газів, покращення рівня життя і стану довкілля завдяки підвищенню енергоефективності об’єктів муніципальної сфери.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Основні положення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Законом України «Про енергозбереження» визначено правові, економічні, соціальні та екологічні основи енергозбереження для всіх підприємств, об'єднань та організацій, розташованих на території України, а також для громадян. Відповідно до зазначеного закону: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Енергозбереження – це діяльність, яка спрямована на раціональне використання та економне витрачання первинної та перетвореної енергії і природних енергетичних ресурсів в національному господарстві і яка реалізується з використанням технічних, економічних та правових методів.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Менеджмент з енергозбереження - це система управління спрямована на забезпечення раціонального використання споживачами паливно-енергетичних ресурсів (далі Е-менеджмент).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Енергетичний моніторинг – це дієвий інструмент у впровадженні політики енергоефективності та енергозбереження, який створює потужний інформаційний ресурс та стимул для оптимізації енергоспоживання. Енергетичний моніторинг дає можливість стежити за динамікою питомого енергоспоживання та контролювати економічну ефективність енергоефективних заходів в ході їх впровадження (далі Е-моніторинг).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м. Покров енергозбереження завжди було пріоритетним напрямком діяльності, адже основна маса придбаних містом енергоресурсів споживається у будівлях, які перебувають у користуванні бюджетних організацій. Значна частина цих ресурсів використовується нераціонально через застарілі технології, низьку якість експлуатації будівель та енергетичного обладнання. 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вирішення цієї проблеми  згідно до Закону України «Про енергозбереження», постановою КМУ № 65 від 1 березня 2014 р. «Про економію державних коштів та недопущення витрат бюджету» та розпорядження Кабінету Міністрів України № 732-р від 26 квітня 2017 р. «Про затвердження плану заходів із впровадження системи енергетичного менеджменту в бюджетних установах», рішенням І пленарного засідання 30 сесії 7 скликання Покровської міської ради №3 від 23 лютого 2018 року  затверджена Концепція запровадження енергетичного менеджменту у м. Покров та Положення про систему енергетичного менеджменту в бюджетній сфері м. Покров.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Загальна частина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І етапі впровадження системи Е-моніторингу дозволило зробити реальну оцінку споживання енергоресурсів у бюджетних установах міста. Всього системою моніторингу охоплено 35 об’єктів з 48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єктів: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єкти загальноосвітніх навчальних закладів;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єктів навчально-виховних комплексів;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 загальноосвітнього ліцею;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 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єкти неповних середніх загальноосвітніх школи;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єктів дошкільних навчальних закладів;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єктів позашкільних навчальних закладів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єкти закладів культури;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 об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єкти закладів бібліотеки;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 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 управління соціального захисту населення;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 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 територіального центру соціального обслуговування.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місті Покров існує структура системи Е-менеджменту для оперативного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управління споживанням паливно-енергетичних ресурсів, яка складається з: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енергоменеджери І рівня – особи призначені відповідними наказами, відповідальні за Е-моніторинг показників приладів обліку (лічильників) на об’єктах.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енергоменеджери ІІ рівня – спеціалісти з Е-менеджменту галузевих управлінь та відділів, завдання яких є безперебійне функціонування енергетичної політики; забезпечення реалізації заходів з підвищення енергоефективності.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енергоменеджери ІІІ рівня – спеціалісти відділу економіки, завдання яких є створення системи енергетичної політики; аналіз даних про енергоспоживання; контроль над реалізацією заходів з підвищення енергоефективності; забезпечення навчання з питань енергоощадної та енергоефективної діяльності.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енергоменеджери І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рівня – заступник міського голови, міський голова, які здійснюють контроль та загальну координацію роботи відділу економіки в питаннях Е-менеджменту; контроль загального стану енергоефективності закладів бюджетної сфери та стан реалізації проектів з підвищення енергоефективності. 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 рамках запровадження системи Е-менеджменту в м. Покров проведено 2 навчальні семінари за підтримки ГО «Асоціація енергетичних аудиторів» на тему «Енергетичний аудит для комунальних підприємств» та Торгово-промислової палати України на тему «Енергозбереження в Україні: правові аспекти та практична реалізація».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березні 2018 року проведене базове навчання енергоменеджерів по основам Е-менеджменту та запровадженню Е-моніторингу «Запровадження електронної системи енергомоніторингу бюджетних закладів та будівель».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01.04.2018 року в м. Покров запроваджено використання програмного продукту АІС «Енергосервіс:облік, контроль, економія» для щоденного Е-моніторингу та реалізації заходів Е-менеджменту. Наразі використання цього програмного продукту є безкоштовним (випробувальний період з 01.04.2018 р. до 01.04.2019 р.). На даному етапі впровадження програма має свої недоліки та певну невідповідність вимогам міста. З розвитком системи Е-менеджменту та Е-моніторингу в м. Покров відбуватиметься пошук необхідного програмного забезпечення, який відповідатиме стандартам та вимогам енергоменеджерів міста.  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6350" distL="114300" distR="117475" simplePos="0" locked="0" layoutInCell="1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1148080</wp:posOffset>
            </wp:positionV>
            <wp:extent cx="5940425" cy="2851150"/>
            <wp:effectExtent l="0" t="0" r="0" b="0"/>
            <wp:wrapTight wrapText="bothSides">
              <wp:wrapPolygon edited="0">
                <wp:start x="-26" y="0"/>
                <wp:lineTo x="-26" y="21471"/>
                <wp:lineTo x="21534" y="21471"/>
                <wp:lineTo x="21534" y="0"/>
                <wp:lineTo x="-26" y="0"/>
              </wp:wrapPolygon>
            </wp:wrapTight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тандарт ДСТУ </w:t>
      </w:r>
      <w:r>
        <w:rPr>
          <w:rFonts w:cs="Times New Roman" w:ascii="Times New Roman" w:hAnsi="Times New Roman"/>
          <w:sz w:val="28"/>
          <w:szCs w:val="28"/>
          <w:lang w:val="en-US"/>
        </w:rPr>
        <w:t>ISO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50001:2014 «Системи енергетичного менеджменту» дає можливість розробити системи та процеси, необхідні для поліпшення енергетичної результативності. Згідно вимог стандарту, основою енергетичного менеджменту є постійне функціонування циклічного процесу, що включає такі етапи: планування, виконання, перевірка та вдосконалення.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початковому етапі енергетичної політики було визначене основне завдання – вибір організаційно-управлінських та технологічних підходів, на підставі яких будуть визначені довгострокові пріоритети міста у питаннях енергозбереження.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Заходи з енергозбереження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6235"/>
        <w:gridCol w:w="2802"/>
      </w:tblGrid>
      <w:tr>
        <w:trPr/>
        <w:tc>
          <w:tcPr>
            <w:tcW w:w="5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03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uk-UA"/>
              </w:rPr>
              <w:t>Організаційні заходи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Раціональне використання комунальних послуг: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економне використання води;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дбайливе використання сантехнічного обладнання;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своєчасне повідомлення відповідальних осіб про неналежну роботу обладнання та устаткування. </w:t>
            </w:r>
          </w:p>
        </w:tc>
        <w:tc>
          <w:tcPr>
            <w:tcW w:w="280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Дотримання температурного режиму в приміщеннях: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Температура в приміщеннях дошкільного навчального закладу повинна становити: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приймальні, ігровій для дітей до 2 років +22-23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приймальні, ігровій для дітей від 2 до 3 років +21-22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приймальні, ігровій для дітей від 3 до 5 років +21-23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приймальні, ігровій для дітей старше 5 років +19-21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 залах для занять музикою та фізичною культурою +18-19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 медичних приміщеннях +21-22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 спальнях +19-21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 туалетних для дітей до 3 років +20-22°C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 туалетних для дітей старше 3 років +19-20</w:t>
            </w: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°C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Температура в приміщеннях шкільного закладу повинна становити:</w:t>
            </w:r>
          </w:p>
          <w:tbl>
            <w:tblPr>
              <w:tblStyle w:val="a3"/>
              <w:tblW w:w="484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848"/>
            </w:tblGrid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вестибюль  +16-19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класна кімната  +17-20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бібліотека   +16-18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спортивна зала   +15-17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актова зала  +17-20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роздягальня   +19-23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медичний кабінет   +21-23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спальні приміщення   +18-20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умивальні   +20-23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туалети  +17-21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color w:val="222222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адміністративних будівлях повинна становити:</w:t>
            </w:r>
          </w:p>
          <w:tbl>
            <w:tblPr>
              <w:tblStyle w:val="a3"/>
              <w:tblW w:w="600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848"/>
              <w:gridCol w:w="1157"/>
            </w:tblGrid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вестибюль   +16-19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туалети  +17-20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</w:r>
                </w:p>
              </w:tc>
            </w:tr>
            <w:tr>
              <w:trPr/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кабінети   +19-21</w:t>
                  </w:r>
                  <w:r>
                    <w:rPr>
                      <w:rFonts w:cs="Times New Roman" w:ascii="Times New Roman" w:hAnsi="Times New Roman"/>
                      <w:color w:val="222222"/>
                      <w:shd w:fill="FFFFFF" w:val="clear"/>
                    </w:rPr>
                    <w:t>°C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/>
            </w:pPr>
            <w:r>
              <w:fldChar w:fldCharType="begin"/>
            </w:r>
            <w:r>
              <w:instrText> HYPERLINK "http://mozdocs.kiev.ua/view.php?id=2407" \l "ixzz5KkC2je00"</w:instrText>
            </w:r>
            <w:r>
              <w:fldChar w:fldCharType="separate"/>
            </w:r>
            <w:r>
              <w:rPr>
                <w:rStyle w:val="Style16"/>
                <w:rFonts w:eastAsia="Times New Roman" w:cs="Times New Roman" w:ascii="Times New Roman" w:hAnsi="Times New Roman"/>
                <w:color w:val="003399"/>
                <w:sz w:val="16"/>
                <w:szCs w:val="16"/>
                <w:u w:val="single"/>
                <w:lang w:val="uk-UA" w:eastAsia="ru-RU"/>
              </w:rPr>
              <w:t>Державні санітарні правила і норми влаштування, утримання загальноосвітніх навчальних закладів та організації навчально-виховного процесу ДСанПіН 5.5.2.008-01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Дотримання повітряно-теплового режиму</w:t>
            </w:r>
          </w:p>
          <w:tbl>
            <w:tblPr>
              <w:tblStyle w:val="a3"/>
              <w:tblW w:w="5386" w:type="dxa"/>
              <w:jc w:val="left"/>
              <w:tblInd w:w="31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124"/>
              <w:gridCol w:w="1701"/>
              <w:gridCol w:w="1561"/>
            </w:tblGrid>
            <w:tr>
              <w:trPr/>
              <w:tc>
                <w:tcPr>
                  <w:tcW w:w="21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Температура повітря вулиці в градусах Цельсія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</w:r>
                </w:p>
              </w:tc>
            </w:tr>
            <w:tr>
              <w:trPr/>
              <w:tc>
                <w:tcPr>
                  <w:tcW w:w="212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На малих перервах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На великих перервах та між змінами</w:t>
                  </w:r>
                </w:p>
              </w:tc>
            </w:tr>
            <w:tr>
              <w:trPr/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Від +10 до +6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4-10 хв.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25-35 хв.</w:t>
                  </w:r>
                </w:p>
              </w:tc>
            </w:tr>
            <w:tr>
              <w:trPr/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Від +5 до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3-7 хв.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20-30 хв.</w:t>
                  </w:r>
                </w:p>
              </w:tc>
            </w:tr>
            <w:tr>
              <w:trPr/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Від 0 до - 5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2-5 хв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15-25 хв.</w:t>
                  </w:r>
                </w:p>
              </w:tc>
            </w:tr>
            <w:tr>
              <w:trPr/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Від - 5 до - 10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1-3 хв.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10-15 хв.</w:t>
                  </w:r>
                </w:p>
              </w:tc>
            </w:tr>
            <w:tr>
              <w:trPr/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>Нижче - 10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>1-1,5 хв.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2190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5-10 хв. </w:t>
                  </w:r>
                </w:p>
              </w:tc>
            </w:tr>
          </w:tbl>
          <w:p>
            <w:pPr>
              <w:pStyle w:val="Normal"/>
              <w:tabs>
                <w:tab w:val="left" w:pos="2190" w:leader="none"/>
              </w:tabs>
              <w:spacing w:before="0" w:after="0"/>
              <w:jc w:val="center"/>
              <w:rPr/>
            </w:pPr>
            <w:r>
              <w:fldChar w:fldCharType="begin"/>
            </w:r>
            <w:r>
              <w:instrText> HYPERLINK "http://mozdocs.kiev.ua/view.php?id=2407" \l "ixzz5KkC2je00"</w:instrText>
            </w:r>
            <w:r>
              <w:fldChar w:fldCharType="separate"/>
            </w:r>
            <w:r>
              <w:rPr>
                <w:rStyle w:val="Style16"/>
                <w:rFonts w:eastAsia="Times New Roman" w:cs="Times New Roman" w:ascii="Times New Roman" w:hAnsi="Times New Roman"/>
                <w:color w:val="003399"/>
                <w:sz w:val="18"/>
                <w:szCs w:val="18"/>
                <w:u w:val="single"/>
                <w:lang w:val="uk-UA" w:eastAsia="ru-RU"/>
              </w:rPr>
              <w:t>Державні санітарні правила і норми влаштування, утримання загальноосвітніх навчальних закладів та організації навчально-виховного процесу ДСанПіН 5.5.2.008-01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Раціональне використання енергоресурсів: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забезпечення економного використання електричної енергії в місцях загального користування, коридорах та службових кабінетах;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- забезпечення по закінченню робочого часу відключення з мереж енергопостачання комп’ютерної, оргтехніки та електроприладів, що розміщуються в кабінетах;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обмежене використання в нічний та позаробочий час освітлення прибудинкової території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lang w:val="uk-UA"/>
              </w:rPr>
              <w:t>Технічні заходи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Вдосконалення теплоізоляції приміщень: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перевірка цілісності крівлі будівель, димових та вентиляційних каналів;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- встановлення пластикових вікон;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ремонт, регулювання та профілактика пластикових вікон у місцях загального користування, коридорах та кабінетах;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- утеплення дерев’яних  вікон - закладення щілин між віконними стулками і рамами (мастикою, поролоном, обклеюванням папером, монтажною піною і т.д.);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- утеплення зовнішніх стін будівель.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- модернізація тепломереж (реконструкція систем опалення);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- технічне обслуговування систем опалення.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року, перед опалювальним сезоном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Запровадження використання енергоефективних освітлювальних приладів: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- заміна, по мірі виходу з ладу, ламп (люмінесцентних, розжарення) на світлодіодні в місцях загального користування, коридорах та службових кабінетах.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Запровадження енергоефективного використання техніки: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забезпечення використання комп’ютерної техніки в режимі економії та експлуатації з переключенням на режим очікування (з низьким використанням електроенергії)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Забезпечення безперебійної роботи приладів обліку: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- проведення своєчасної повірки лічильників теплової енергії, водопостачання та водовідведення;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забезпечення контролю за обліком показників спожитої теплової та електроенергії, водопостачання та водовідведення із залученням профільних спеціалістів;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- забезпечення звіряння кількісних та якісних показників споживання комунальних послуг та енергоносіїв.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року, перед опалювальним сезоном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Контроль споживання енергоресурсів з урахуванням обсягів кошторисних призначень та їх своєчасне корегування у разі необхідності.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Протягом всього року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Головним критерієм відбору бюджетних установ для Е-менеджменту на початковому етапі є наявність окремого приладу обліку на кожному об’єкті бюджетної установи. </w:t>
      </w:r>
    </w:p>
    <w:p>
      <w:pPr>
        <w:pStyle w:val="Normal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 об’єктів, в яких запроваджено заходи Е-менеджменту та Е-моніторингу</w:t>
      </w:r>
    </w:p>
    <w:tbl>
      <w:tblPr>
        <w:tblW w:w="9782" w:type="dxa"/>
        <w:jc w:val="left"/>
        <w:tblInd w:w="-204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4252"/>
        <w:gridCol w:w="2835"/>
        <w:gridCol w:w="1134"/>
        <w:gridCol w:w="993"/>
      </w:tblGrid>
      <w:tr>
        <w:trPr>
          <w:trHeight w:val="410" w:hRule="atLeast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з/п</w:t>
            </w:r>
          </w:p>
        </w:tc>
        <w:tc>
          <w:tcPr>
            <w:tcW w:w="42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об'єкту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 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Рік </w:t>
              <w:br/>
              <w:t>будови</w:t>
            </w:r>
          </w:p>
        </w:tc>
      </w:tr>
      <w:tr>
        <w:trPr>
          <w:trHeight w:val="253" w:hRule="atLeast"/>
        </w:trPr>
        <w:tc>
          <w:tcPr>
            <w:tcW w:w="56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НВК №1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шкільне відділення»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Центральна, 35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5939,00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НВК №2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шкільне відділення»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ної Л., 15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5542,00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 №2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Малки І., 16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2665,50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 №4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Уральська, 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3756,00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 №6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Чіатурська, 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5939,00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 №9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29а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8800,00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Загальноосвітній ліцей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Центральна, 31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5077,40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Олександрівська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Калинова, 62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2431,00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Чортомлицька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СЗШ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Осипенко П.,35/1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2319,00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НВК №1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дошкільне відділення»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Героїв Чорнобиля, 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2513,00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НВК №1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дошкільне відділення»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Центральна, 33а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1404,00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КЗ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НВК №2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дошкільне відділення»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4229,00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«Червона шапочка»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Партизанська. 37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1097,60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№11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«Сонечко»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Курчатова, 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1454,50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№13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«Малятко»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Героїв України, 6а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3048,10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№16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«Берізка»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Шатохіна, 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2452,20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№18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«Барвінок»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Фабрична, 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1060,00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№21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«Казка»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4229,40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КДНЗ №22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«Усмішка»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29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4284,30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КДНЗ №22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«Усмішка»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uk-UA" w:eastAsia="ru-RU"/>
              </w:rPr>
              <w:t>психологічний центр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вул.Чайкіної Л., 31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4003,80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Централізована міська бібліотека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Центральна, 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712,00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Бібліотека-філія №2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33/27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1989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Бібліотека-філія №3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Шатохіна, 3а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1979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Народний історико-краєзнавчий музей ім. М.А. Занудька м. Покров Дніпропетровської області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Пушкіна, 8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Дитяча школа мистецтв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Середи Г., 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2606,00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Дитяча музична школа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Чайкіної Л., 29а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Клуб «Первізськи Хутори»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Перевізна, 48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381,00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КПНЗ «Дитячо-юнацька спортивна школа ім. Д. Дідіка м. Покров Дніпропетровської області»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вул.Горького, 12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1306,60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>
        <w:trPr>
          <w:trHeight w:val="349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КПНЗ «Дитячо-юнацька спортивна школа ім. Д. Дідіка м. Покров Дніпропетровської області» (гімнастична зала)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Тикви, 2а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708,70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КПНЗ «Дитячо-юнацька спортивна школа ім. Д. Дідіка м. Покров Дніпропетровської області»  (зала дзюдо)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Торгова, 31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КПНЗ «Будинок творчості дітей та юнацтва»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Центральна, 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1629,90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КПНЗ «Будинок творчості дітей та юнацтво»  (центр)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Курчатова, 21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6478,00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культури виконавчого комітету Покровської міської ради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вул.Центральна, 48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1981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Територіальний центр надання соціального обслуговування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Героїв України, 13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298,20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вул. Горького, 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результатами проведення анкетування об’єктів КЗ «ЦПМСД» та КЗ «ЦМЛ м. Покров» ДОР встановлено, що на даному етапі проведення енергетичного менеджменту є неможливим, через відсутність окремих приладів обліку енергоресурсів на кожному окремому об’єкті установи.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Крім того, приміщення певної кількості будівель перебувають в користуванні (підпорядкуванні) декількох закладів.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Для початку роботи з обраними об’єктами зроблено наступні кроки: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Здійснено збір загальної та технічної інформації.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Визначено клас енергоефективності кожної будівлі.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Здійснено інвентаризацію приладів обліку окремого об’єкту.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Здійснено збір історичних даних про спожиті ресурси за період 2015 –    І півріччя 2018 року.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4.Аналіз споживання паливно-енергетичних ресурсів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4.1 Споживачі енергоресурсів бюджетних установ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Заклади освіти мають в основному 5 груп споживачів електроенергії: освітлення (20-30%), прилади з електродвигунами (10-30%), різноманітні нагріваючі установки (електрочайники, електроплити і т.д.) споживають від 10% до 20% електроенергії, комп’ютерна техніка до 30%. У закладах освіти найбільш потужним споживачем електроенергії є електротермічні установки харчоблоків. По споживанню теплової енергії можна виділити три групи споживачів: опалення – 50-70%, гаряче водо забезпечення – 16-30%, вентиляція – 10-25%. Щодо споживання холодної води в навчальних закладах виділяються дві групи споживачів: спальні корпуси – 55-70%, навчальні корпуси – 45-30%.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Адміністративні заклади мають чотири групи споживачів електроенергії: освітлення (40-60%), прилади з електродвигунами (10-30%), різноманітні теплові установки (електрочайники, електрокаміни і т.д.), що споживають від 20% до 40% електроенергії, комп’ютерна техніка 10-20%. По споживанню теплової енергії виділяються дві групи споживачів: опалення 70-85% та вентиляція 15-30%.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4.2 Аналіз споживання ресурсу Електрична енергія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результатами аналізу обсягів споживання електроенергії встановлено, що в І півріччі 2017 року спожито електричної енергії в кількості 882 211 кВт/год. на загальну суму 1 721 911,3 грн., за відповідний період 2018 року – 780 808 кВт/год., на загальну суму 1 739 762,1 грн. У 2018 році в порівнянні з 2017 роком відбулося зростання тарифу на електричну енергію в середньому на 12,9%. Завдяки економії споживання електроенергії в кількості 101 403 кВт/год., що становить 11,5% фактично вдалося зекономити 227 142,72 грн. бюджетних коштів.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Показники ресурсу Електрична енергія </w:t>
      </w:r>
    </w:p>
    <w:tbl>
      <w:tblPr>
        <w:tblStyle w:val="a3"/>
        <w:tblW w:w="10739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1352"/>
        <w:gridCol w:w="1206"/>
        <w:gridCol w:w="1108"/>
        <w:gridCol w:w="1316"/>
        <w:gridCol w:w="1211"/>
        <w:gridCol w:w="1256"/>
        <w:gridCol w:w="1260"/>
        <w:gridCol w:w="1253"/>
      </w:tblGrid>
      <w:tr>
        <w:trPr/>
        <w:tc>
          <w:tcPr>
            <w:tcW w:w="212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>
        <w:trPr/>
        <w:tc>
          <w:tcPr>
            <w:tcW w:w="776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2017 рік</w:t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кВт/год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169 848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182 240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162 205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142 945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121 080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103 893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882 211</w:t>
            </w:r>
          </w:p>
        </w:tc>
      </w:tr>
      <w:tr>
        <w:trPr/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тариф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1,96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2,02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1,97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1,91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1,89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1,92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1,95</w:t>
            </w:r>
          </w:p>
        </w:tc>
      </w:tr>
      <w:tr>
        <w:trPr/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грн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332 902,08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368 124,8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319 543,85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273 024,95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228 841,2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199 474,56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1 721 911,3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2018 рік</w:t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кВт/год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148 119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149 388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140 286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139 117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109 824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94 074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780 808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тариф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2,14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2,29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2,29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2,29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2,24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грн</w:t>
            </w:r>
          </w:p>
        </w:tc>
        <w:tc>
          <w:tcPr>
            <w:tcW w:w="120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316 974,66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328 653,6</w:t>
            </w:r>
          </w:p>
        </w:tc>
        <w:tc>
          <w:tcPr>
            <w:tcW w:w="13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308 629,2</w:t>
            </w:r>
          </w:p>
        </w:tc>
        <w:tc>
          <w:tcPr>
            <w:tcW w:w="12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318 577,93</w:t>
            </w:r>
          </w:p>
        </w:tc>
        <w:tc>
          <w:tcPr>
            <w:tcW w:w="125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251 496,96</w:t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215 429,96</w:t>
            </w:r>
          </w:p>
        </w:tc>
        <w:tc>
          <w:tcPr>
            <w:tcW w:w="12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1 739 762,1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5305425" cy="290512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4.2.1 Аналіз впровадження технічних заходів для економії споживання ресурсу Електрична енергія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Крім того, розпорядженням міського голови № 323-р від 15 листопада 2017 року «Про здійснення заходів щодо скорочення споживання електричної енергії в бюджетній сфері м. Покров», було рекомендовано заміну по мірі виходу з ладу ламп (розжарювання) на люмінесцентні та світлодіодні в місцях загального користування, коридорах та кабінетах. Завдяки запровадженню цього заходу очікувалося зменшення споживання електроенергії. 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початку  здійснення заходів щодо скорочення споживання електричної енергії в бюджетній сфері м. Покров, а саме заміні ламп розжарювання на енергефективні, відбулася заміна 419 ламп, що становить 11,98% від загальної кількості ламп розжарювання.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Заміна ламп розжарювання на енергефективні</w:t>
      </w:r>
    </w:p>
    <w:tbl>
      <w:tblPr>
        <w:tblStyle w:val="a3"/>
        <w:tblW w:w="9924" w:type="dxa"/>
        <w:jc w:val="left"/>
        <w:tblInd w:w="-33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9"/>
        <w:gridCol w:w="1574"/>
        <w:gridCol w:w="3"/>
        <w:gridCol w:w="1570"/>
        <w:gridCol w:w="1574"/>
        <w:gridCol w:w="3"/>
        <w:gridCol w:w="1812"/>
        <w:gridCol w:w="3"/>
        <w:gridCol w:w="1815"/>
      </w:tblGrid>
      <w:tr>
        <w:trPr>
          <w:trHeight w:val="630" w:hRule="atLeast"/>
        </w:trPr>
        <w:tc>
          <w:tcPr>
            <w:tcW w:w="3146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Загальна к-ть ламп станом на 01.12.2017</w:t>
            </w:r>
          </w:p>
        </w:tc>
        <w:tc>
          <w:tcPr>
            <w:tcW w:w="3147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Загальна к-ть ламп станом на 30.06.2018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Кількість замінених ламп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81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% замінених ламп </w:t>
            </w:r>
            <w:r>
              <w:rPr>
                <w:rFonts w:cs="Times New Roman" w:ascii="Times New Roman" w:hAnsi="Times New Roman"/>
                <w:sz w:val="20"/>
                <w:lang w:val="uk-UA"/>
              </w:rPr>
              <w:t>розжарювання від загальної к-ті ламп розжарювання</w:t>
            </w:r>
          </w:p>
        </w:tc>
      </w:tr>
      <w:tr>
        <w:trPr>
          <w:trHeight w:val="630" w:hRule="atLeast"/>
        </w:trPr>
        <w:tc>
          <w:tcPr>
            <w:tcW w:w="15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57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81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15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7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1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>
        <w:trPr/>
        <w:tc>
          <w:tcPr>
            <w:tcW w:w="15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6 201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3 498</w:t>
            </w:r>
          </w:p>
        </w:tc>
        <w:tc>
          <w:tcPr>
            <w:tcW w:w="157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6 198</w:t>
            </w:r>
          </w:p>
        </w:tc>
        <w:tc>
          <w:tcPr>
            <w:tcW w:w="157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3 079</w:t>
            </w:r>
          </w:p>
        </w:tc>
        <w:tc>
          <w:tcPr>
            <w:tcW w:w="181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419</w:t>
            </w:r>
          </w:p>
        </w:tc>
        <w:tc>
          <w:tcPr>
            <w:tcW w:w="181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11,98</w:t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4800600" cy="286702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4.3 Аналіз споживання ресурсу Водопостачання та водовідведення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аналізу споживання ресурсу водопостачання та водовідведення обрано період І півріччя 2018 в порівнянні з відповідним періодом 2017 року. Це пов’язано з тим, що на деяких об’єктах, які були обрані для Е-менеджменту, прилади обліку були встановлені в 2017 році.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результатами аналізу обсягів споживання ресурсу водопостачання та водовідведення встановлено, що в 2018 році витрати зросли на 56 202,96 грн. або на 14,9% через підвищення тарифу на водопостачання та водовідведення з 1 квітня 2018 року на 59,5%.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Через зменшення обсягів споживання ресурсу на 1 424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 становить 7,7% від загальних обсягів споживання забезпечено економію в сумі 29 960,96 грн.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Показники ресурсу Водопостачання та водовідведення</w:t>
      </w:r>
    </w:p>
    <w:tbl>
      <w:tblPr>
        <w:tblStyle w:val="a3"/>
        <w:tblW w:w="10915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1065"/>
        <w:gridCol w:w="1"/>
        <w:gridCol w:w="1353"/>
        <w:gridCol w:w="2"/>
        <w:gridCol w:w="1195"/>
        <w:gridCol w:w="1"/>
        <w:gridCol w:w="1335"/>
        <w:gridCol w:w="1"/>
        <w:gridCol w:w="1335"/>
        <w:gridCol w:w="1"/>
        <w:gridCol w:w="1250"/>
        <w:gridCol w:w="1"/>
        <w:gridCol w:w="1318"/>
        <w:gridCol w:w="1"/>
        <w:gridCol w:w="1279"/>
      </w:tblGrid>
      <w:tr>
        <w:trPr/>
        <w:tc>
          <w:tcPr>
            <w:tcW w:w="1842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Холодна вода</w:t>
            </w:r>
          </w:p>
        </w:tc>
        <w:tc>
          <w:tcPr>
            <w:tcW w:w="135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9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7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>
        <w:trPr/>
        <w:tc>
          <w:tcPr>
            <w:tcW w:w="776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2017 рік</w:t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2 507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2 650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3 390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3 593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3 084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3 363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18 587</w:t>
            </w:r>
          </w:p>
        </w:tc>
      </w:tr>
      <w:tr>
        <w:trPr/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тариф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</w:tr>
      <w:tr>
        <w:trPr/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грн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40 643,48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42 961,8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54 958,68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58 249,72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49 997,8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54 520,96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301 332,44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2018 рік</w:t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2 648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3 137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3 184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2 234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2 856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3 104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17 163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тариф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16,212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25,86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25,86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25,86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21,04</w:t>
            </w:r>
          </w:p>
        </w:tc>
      </w:tr>
      <w:tr>
        <w:trPr>
          <w:trHeight w:val="77" w:hRule="atLeast"/>
        </w:trPr>
        <w:tc>
          <w:tcPr>
            <w:tcW w:w="7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грн</w:t>
            </w:r>
          </w:p>
        </w:tc>
        <w:tc>
          <w:tcPr>
            <w:tcW w:w="135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42 929,38</w:t>
            </w:r>
          </w:p>
        </w:tc>
        <w:tc>
          <w:tcPr>
            <w:tcW w:w="119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50 857,0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51 619,0</w:t>
            </w:r>
          </w:p>
        </w:tc>
        <w:tc>
          <w:tcPr>
            <w:tcW w:w="13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58 003,98</w:t>
            </w:r>
          </w:p>
        </w:tc>
        <w:tc>
          <w:tcPr>
            <w:tcW w:w="12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73 856,16</w:t>
            </w:r>
          </w:p>
        </w:tc>
        <w:tc>
          <w:tcPr>
            <w:tcW w:w="1319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80 269,44</w:t>
            </w:r>
          </w:p>
        </w:tc>
        <w:tc>
          <w:tcPr>
            <w:tcW w:w="128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357 534,96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cs="Times New Roman" w:ascii="Times New Roman" w:hAnsi="Times New Roman"/>
          <w:color w:val="FF0000"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/>
        <w:drawing>
          <wp:inline distT="0" distB="0" distL="0" distR="0">
            <wp:extent cx="5067300" cy="280733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4.4 Аналіз споживання ресурсу Природний газ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Основна частка споживання природного газу бюджетними установами випадає на опалення будівель закладів. Для аналізу споживання ресурсу природний газ, були використані історичні данні споживання з 2015 по 2017 роки.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Зауважено, що в 2017 році відбулося скорочення споживання ресурсу завдяки заміщенню природного газу вугільними  котельнями ТОВ «Укртехресурс» та котельнями з використанням альтернативного палива ТОВ «АПС Пауер Технолоджи».  Наразі котельнями обслуговується 24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єкти соціальної сфери. 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Крім того, для проведення аналізу ефективності споживання природного газу бюджетними установами використані дані Дніпропетровського обласного центру з метеорології, про показники середньомісячної температури зовнішнього повітря.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Так, середньомісячна температура по опалювальному сезону складала: 2015 рік -1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>°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C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>; 2016 рік -3°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C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>; 2017 рік 0°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C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 xml:space="preserve">, що також обумовило зменшення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споживання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uk-UA"/>
        </w:rPr>
        <w:t>природного газу в 2017 році.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Показники ресурсу Природний газ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Природний газ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</w:tr>
      <w:tr>
        <w:trPr/>
        <w:tc>
          <w:tcPr>
            <w:tcW w:w="2392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770 428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775 668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740 545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5124450" cy="303847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4.5 Аналіз споживання ресурсу Теплова енергія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4.5.1 Аналіз фактичного споживання ресурсу Теплова енергія шкільними навчальними закладами в 2015-І півріччі 2018 років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Важливим етапом заходів Е-моніторингу є аналіз обсягів споживання ресурсів по окремих будівлях із врахуванням площі, об’єму будівлі, кількості осіб, які перебувають в будівлі та обсягів спожитих ресурсів.</w:t>
      </w:r>
    </w:p>
    <w:tbl>
      <w:tblPr>
        <w:tblStyle w:val="a3"/>
        <w:tblW w:w="10472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1"/>
        <w:gridCol w:w="1031"/>
        <w:gridCol w:w="1098"/>
        <w:gridCol w:w="1125"/>
        <w:gridCol w:w="1108"/>
        <w:gridCol w:w="1111"/>
        <w:gridCol w:w="1112"/>
        <w:gridCol w:w="1104"/>
      </w:tblGrid>
      <w:tr>
        <w:trPr>
          <w:trHeight w:val="289" w:hRule="atLeast"/>
        </w:trPr>
        <w:tc>
          <w:tcPr>
            <w:tcW w:w="10470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val="uk-UA"/>
              </w:rPr>
              <w:t>2015 рік</w:t>
            </w:r>
          </w:p>
        </w:tc>
      </w:tr>
      <w:tr>
        <w:trPr>
          <w:trHeight w:val="535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7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306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0,59</w:t>
            </w:r>
          </w:p>
        </w:tc>
      </w:tr>
      <w:tr>
        <w:trPr>
          <w:trHeight w:val="17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№2-шкільне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5542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966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120 803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1,38</w:t>
            </w:r>
          </w:p>
        </w:tc>
      </w:tr>
      <w:tr>
        <w:trPr>
          <w:trHeight w:val="17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№2»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2665,5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536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284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35 610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0,52</w:t>
            </w:r>
          </w:p>
        </w:tc>
      </w:tr>
      <w:tr>
        <w:trPr>
          <w:trHeight w:val="19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№4»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3756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454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56 754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0,12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1,68</w:t>
            </w:r>
          </w:p>
        </w:tc>
      </w:tr>
      <w:tr>
        <w:trPr>
          <w:trHeight w:val="17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№6»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661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53 621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0,64</w:t>
            </w:r>
          </w:p>
        </w:tc>
      </w:tr>
      <w:tr>
        <w:trPr>
          <w:trHeight w:val="17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«СЗШ №9» 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8800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550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868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108 621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0,09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1,57</w:t>
            </w:r>
          </w:p>
        </w:tc>
      </w:tr>
      <w:tr>
        <w:trPr>
          <w:trHeight w:val="345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«Загальноосвітній ліцей»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5077,4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403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463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57 889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0,09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1,14</w:t>
            </w:r>
          </w:p>
        </w:tc>
      </w:tr>
      <w:tr>
        <w:trPr>
          <w:trHeight w:val="36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«Олександрівська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2431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71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497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2,64</w:t>
            </w:r>
          </w:p>
        </w:tc>
      </w:tr>
      <w:tr>
        <w:trPr>
          <w:trHeight w:val="362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«Чортомлицька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2319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67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469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3,32</w:t>
            </w:r>
          </w:p>
        </w:tc>
      </w:tr>
      <w:tr>
        <w:trPr>
          <w:trHeight w:val="273" w:hRule="atLeast"/>
        </w:trPr>
        <w:tc>
          <w:tcPr>
            <w:tcW w:w="10470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</w:tr>
      <w:tr>
        <w:trPr>
          <w:trHeight w:val="34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№1-шкільне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441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0,85</w:t>
            </w:r>
          </w:p>
        </w:tc>
      </w:tr>
      <w:tr>
        <w:trPr>
          <w:trHeight w:val="11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«НВК №2-шкільне відділення» 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5542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1 083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135 490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0,19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1,54</w:t>
            </w:r>
          </w:p>
        </w:tc>
      </w:tr>
      <w:tr>
        <w:trPr>
          <w:trHeight w:val="11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№2»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2665,5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536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38 606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0,57</w:t>
            </w:r>
          </w:p>
        </w:tc>
      </w:tr>
      <w:tr>
        <w:trPr>
          <w:trHeight w:val="121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№4»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3756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400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50 095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1,48</w:t>
            </w:r>
          </w:p>
        </w:tc>
      </w:tr>
      <w:tr>
        <w:trPr>
          <w:trHeight w:val="11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№6»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661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487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60 968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0,08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0,73</w:t>
            </w:r>
          </w:p>
        </w:tc>
      </w:tr>
      <w:tr>
        <w:trPr>
          <w:trHeight w:val="11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№9»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8800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550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1 007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125 913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1,83</w:t>
            </w:r>
          </w:p>
        </w:tc>
      </w:tr>
      <w:tr>
        <w:trPr>
          <w:trHeight w:val="219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«Загальноосвітній ліцей»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5077,4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403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519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64 950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1,28</w:t>
            </w:r>
          </w:p>
        </w:tc>
      </w:tr>
      <w:tr>
        <w:trPr>
          <w:trHeight w:val="23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«Олександрівська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2431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93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651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0,26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3,46</w:t>
            </w:r>
          </w:p>
        </w:tc>
      </w:tr>
      <w:tr>
        <w:trPr>
          <w:trHeight w:val="230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«Чортомлицька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2319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91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637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4,51</w:t>
            </w:r>
          </w:p>
        </w:tc>
      </w:tr>
      <w:tr>
        <w:trPr>
          <w:trHeight w:val="154" w:hRule="atLeast"/>
        </w:trPr>
        <w:tc>
          <w:tcPr>
            <w:tcW w:w="10470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val="uk-UA"/>
              </w:rPr>
              <w:t>2017 рік</w:t>
            </w:r>
          </w:p>
        </w:tc>
      </w:tr>
      <w:tr>
        <w:trPr>
          <w:trHeight w:val="35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№1-шкільне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380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0,06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0,73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«НВК №2-шкільне відділення» 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5542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1 061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132 645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0,19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1,51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№2»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2665,5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536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300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37 604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0,55</w:t>
            </w:r>
          </w:p>
        </w:tc>
      </w:tr>
      <w:tr>
        <w:trPr>
          <w:trHeight w:val="126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№4»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3756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458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57 362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0,12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1,70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№6»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661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460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57 622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0,69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№9»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8800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550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978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122 332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1,77</w:t>
            </w:r>
          </w:p>
        </w:tc>
      </w:tr>
      <w:tr>
        <w:trPr>
          <w:trHeight w:val="228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«Загальноосвітній ліцей»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5077,4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403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489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61 195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0,09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1,21</w:t>
            </w:r>
          </w:p>
        </w:tc>
      </w:tr>
      <w:tr>
        <w:trPr>
          <w:trHeight w:val="239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«Олександрівська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2431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84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588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0,24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3,12</w:t>
            </w:r>
          </w:p>
        </w:tc>
      </w:tr>
      <w:tr>
        <w:trPr>
          <w:trHeight w:val="239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«Чортомлицька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2319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89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623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0,26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4,41</w:t>
            </w:r>
          </w:p>
        </w:tc>
      </w:tr>
      <w:tr>
        <w:trPr>
          <w:trHeight w:val="181" w:hRule="atLeast"/>
        </w:trPr>
        <w:tc>
          <w:tcPr>
            <w:tcW w:w="10470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val="uk-UA"/>
              </w:rPr>
              <w:t>І півріччя 2018 року</w:t>
            </w:r>
          </w:p>
        </w:tc>
      </w:tr>
      <w:tr>
        <w:trPr>
          <w:trHeight w:val="35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№1-шкільне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518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264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0,04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0,5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№2-шкільне відділення»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5542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676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84 584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0,12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0,96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№2»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2665,5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536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182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22 854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0,06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0,33</w:t>
            </w:r>
          </w:p>
        </w:tc>
      </w:tr>
      <w:tr>
        <w:trPr>
          <w:trHeight w:val="126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№4»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3756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269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30 970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0,91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№6»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5939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661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297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37 200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0,44</w:t>
            </w:r>
          </w:p>
        </w:tc>
      </w:tr>
      <w:tr>
        <w:trPr>
          <w:trHeight w:val="114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№9»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8800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550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568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71 088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0,06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1,03</w:t>
            </w:r>
          </w:p>
        </w:tc>
      </w:tr>
      <w:tr>
        <w:trPr>
          <w:trHeight w:val="228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«Загальноосвітній ліцей»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5077,4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403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294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36 843</w:t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0,72</w:t>
            </w:r>
          </w:p>
        </w:tc>
      </w:tr>
      <w:tr>
        <w:trPr>
          <w:trHeight w:val="239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«Олександрівська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2431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188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385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0,15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2,04</w:t>
            </w:r>
          </w:p>
        </w:tc>
      </w:tr>
      <w:tr>
        <w:trPr>
          <w:trHeight w:val="239" w:hRule="atLeast"/>
        </w:trPr>
        <w:tc>
          <w:tcPr>
            <w:tcW w:w="2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«Чортомлицька НСЗШ»</w:t>
            </w:r>
          </w:p>
        </w:tc>
        <w:tc>
          <w:tcPr>
            <w:tcW w:w="10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2319</w:t>
            </w:r>
          </w:p>
        </w:tc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141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53</w:t>
            </w:r>
          </w:p>
        </w:tc>
        <w:tc>
          <w:tcPr>
            <w:tcW w:w="11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371</w:t>
            </w:r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1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0,15</w:t>
            </w:r>
          </w:p>
        </w:tc>
        <w:tc>
          <w:tcPr>
            <w:tcW w:w="11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2,63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6372225" cy="4067175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Normal"/>
        <w:spacing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результатами проведеного аналізу встановлено, що найбільш енергозатратними шкільними навчальними закладами є будівлі КЗ «Олександрівська НСЗШ» та КЗ «Чортомлицька НСЗШ»</w:t>
      </w:r>
    </w:p>
    <w:p>
      <w:pPr>
        <w:pStyle w:val="Normal"/>
        <w:tabs>
          <w:tab w:val="left" w:pos="2679" w:leader="none"/>
        </w:tabs>
        <w:spacing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>Так, споживання теплової енергії на опалення 1м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cs="Times New Roman" w:ascii="Times New Roman" w:hAnsi="Times New Roman"/>
          <w:sz w:val="28"/>
          <w:szCs w:val="28"/>
          <w:lang w:val="uk-UA"/>
        </w:rPr>
        <w:t>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єкту по роках складає відповідно: 2015 р. – 0,2 Гкал, 2016 р. – 0,26 та 0,27 Гкал, 2017 р. – 0,24 та 0,26 Гкал, І півріччя 2018 р. – 0,15 Гкал.</w:t>
      </w:r>
    </w:p>
    <w:p>
      <w:pPr>
        <w:pStyle w:val="Normal"/>
        <w:tabs>
          <w:tab w:val="left" w:pos="267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Споживання теплової енергії на 1 особу по роках складає відповідно: 2015 р. – 2,64 та 3,32 Гкал, 2016 р. – 3,46 та 4,51 Гкал, 2017 р. – 3,12 та 4,41 Гкал, І півріччя 2018 р. – 2,04 та 2,63 Гкал.  </w:t>
      </w:r>
    </w:p>
    <w:p>
      <w:pPr>
        <w:pStyle w:val="Normal"/>
        <w:tabs>
          <w:tab w:val="left" w:pos="267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Мінімальне споживання енергоресурсів відбувається по будівлі КЗ « НВК №1-шкільне відділення». </w:t>
      </w:r>
    </w:p>
    <w:p>
      <w:pPr>
        <w:pStyle w:val="Normal"/>
        <w:tabs>
          <w:tab w:val="left" w:pos="267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>Так, споживання теплової енергії на опалення 1м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cs="Times New Roman" w:ascii="Times New Roman" w:hAnsi="Times New Roman"/>
          <w:sz w:val="28"/>
          <w:szCs w:val="28"/>
          <w:lang w:val="uk-UA"/>
        </w:rPr>
        <w:t>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 роках відповідно складає: 2015 р. – 0,05 Гкал, 2016 р. – 0,07 Гкал, 2017 р. – 0,06 Гкал, І півріччя 2018 р. – 0,04 Гкал.  </w:t>
      </w:r>
    </w:p>
    <w:p>
      <w:pPr>
        <w:pStyle w:val="Normal"/>
        <w:tabs>
          <w:tab w:val="left" w:pos="267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Споживання теплової енергії на 1 особу по роках складає відповідно 2015 р. – 0,59 Гкал, 2016 рік. – 0,85 Гкал, 2017 рік. – 0,73 Гкал, І півріччя 2018 р. – 0,5 Гкал.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4.5.2 Аналіз фактичного споживання ресурсу Теплова енергія дошкільними навчальними закладами в 2015-І півріччі 2018 років</w:t>
      </w:r>
    </w:p>
    <w:tbl>
      <w:tblPr>
        <w:tblStyle w:val="a3"/>
        <w:tblW w:w="10784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095"/>
        <w:gridCol w:w="1094"/>
        <w:gridCol w:w="1095"/>
        <w:gridCol w:w="1095"/>
        <w:gridCol w:w="1094"/>
        <w:gridCol w:w="1095"/>
        <w:gridCol w:w="1095"/>
      </w:tblGrid>
      <w:tr>
        <w:trPr>
          <w:trHeight w:val="354" w:hRule="atLeast"/>
        </w:trPr>
        <w:tc>
          <w:tcPr>
            <w:tcW w:w="10782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2015 рік</w:t>
            </w:r>
          </w:p>
        </w:tc>
      </w:tr>
      <w:tr>
        <w:trPr>
          <w:trHeight w:val="35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№1-дошкільне відділення» (корпус 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41 039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1,52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 1-дошкільне відділення» (корпус ІІІ)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1,05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 2-дошкільне відділення»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4229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419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52 493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2,34</w:t>
            </w:r>
          </w:p>
        </w:tc>
      </w:tr>
      <w:tr>
        <w:trPr>
          <w:trHeight w:val="126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№5 « Червона шапочка»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1097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24 479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2,05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КДНЗ№ 11 «Сонечко»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1454,4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31 846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1,45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 13 «Малятко»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3048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437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54 738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0,14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2,05</w:t>
            </w:r>
          </w:p>
        </w:tc>
      </w:tr>
      <w:tr>
        <w:trPr>
          <w:trHeight w:val="228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№16 «Берізка»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2452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398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49 753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1,88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№18 «Барвінок»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1060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150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171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21 429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1,14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№22 «Усмішка» (психологічний центр)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4003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28 199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0,83</w:t>
            </w:r>
          </w:p>
        </w:tc>
      </w:tr>
      <w:tr>
        <w:trPr>
          <w:trHeight w:val="354" w:hRule="atLeast"/>
        </w:trPr>
        <w:tc>
          <w:tcPr>
            <w:tcW w:w="10782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</w:tr>
      <w:tr>
        <w:trPr>
          <w:trHeight w:val="35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№1-дошкільне відділення» (корпус 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372 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46 506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0,14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1,73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 1-дошкільне відділення» (корпус ІІІ)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1,52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«НВК № 2-дошкільне відділення» 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4229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437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54 685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2,44</w:t>
            </w:r>
          </w:p>
        </w:tc>
      </w:tr>
      <w:tr>
        <w:trPr>
          <w:trHeight w:val="126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№5 «Червона шапочка»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1097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29 189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2,45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КДНЗ№ 11 «Сонечко»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1454,4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35 635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1,62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 13 «Малятко»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3048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440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55 079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0,14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2,06</w:t>
            </w:r>
          </w:p>
        </w:tc>
      </w:tr>
      <w:tr>
        <w:trPr>
          <w:trHeight w:val="228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№16 «Берізка»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2452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477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59 632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2,26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№18 «Барвінок»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1060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150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181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22 653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1,2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№22 «Усмішка» (психологічний центр)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4003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31 902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0,83</w:t>
            </w:r>
          </w:p>
        </w:tc>
      </w:tr>
      <w:tr>
        <w:trPr>
          <w:trHeight w:val="354" w:hRule="atLeast"/>
        </w:trPr>
        <w:tc>
          <w:tcPr>
            <w:tcW w:w="10782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</w:tr>
      <w:tr>
        <w:trPr>
          <w:trHeight w:val="35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№1-дошкільне відділення» (корпус 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296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37 057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1,37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 1-дошкільне відділення» (корпус ІІІ)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«НВК № 2-дошкільне відділення» 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4229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446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55 784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2,49</w:t>
            </w:r>
          </w:p>
        </w:tc>
      </w:tr>
      <w:tr>
        <w:trPr>
          <w:trHeight w:val="126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№5 «Червона шапочка»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1097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27 949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0,2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2,34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КДНЗ№ 11 «Сонечко»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1454,4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34 903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1,59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 13 «Малятко»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3048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418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52 371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1,96</w:t>
            </w:r>
          </w:p>
        </w:tc>
      </w:tr>
      <w:tr>
        <w:trPr>
          <w:trHeight w:val="228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№16 «Берізка»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2452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445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55 646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0,18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2,1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№18 «Барвінок»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1060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150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23 581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0,17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1,25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№22 «Усмішка» (психологічний центр)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4003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25 625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0,7</w:t>
            </w:r>
          </w:p>
        </w:tc>
      </w:tr>
      <w:tr>
        <w:trPr>
          <w:trHeight w:val="354" w:hRule="atLeast"/>
        </w:trPr>
        <w:tc>
          <w:tcPr>
            <w:tcW w:w="10782" w:type="dxa"/>
            <w:gridSpan w:val="8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 півріччя 2018 року</w:t>
            </w:r>
          </w:p>
        </w:tc>
      </w:tr>
      <w:tr>
        <w:trPr>
          <w:trHeight w:val="35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закладу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Площа,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К-ть осіб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вугілля, т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теплової енергії, Гкал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Спожито природного газу,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2</w:t>
            </w:r>
          </w:p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Споживання на 1 особу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№1-дошкільне відділення» (корпус 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25 603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0,08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0,94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 1-дошкільне відділення» (корпус ІІІ)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1404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1,11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КЗ «НВК № 2-дошкільне відділення» 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4229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32 152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1,43</w:t>
            </w:r>
          </w:p>
        </w:tc>
      </w:tr>
      <w:tr>
        <w:trPr>
          <w:trHeight w:val="126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№5 «Червона шапочка»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1097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131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16 466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1,37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КДНЗ№ 11 «Сонечко»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1454,4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175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20 099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0,91</w:t>
            </w:r>
          </w:p>
        </w:tc>
      </w:tr>
      <w:tr>
        <w:trPr>
          <w:trHeight w:val="114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 13 «Малятко»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3048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251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31 402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0,08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1,17</w:t>
            </w:r>
          </w:p>
        </w:tc>
      </w:tr>
      <w:tr>
        <w:trPr>
          <w:trHeight w:val="228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№16 «Берізка»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2452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35 461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1,34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№18 «Барвінок»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1060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150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111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13 914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0,1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0,74</w:t>
            </w:r>
          </w:p>
        </w:tc>
      </w:tr>
      <w:tr>
        <w:trPr>
          <w:trHeight w:val="239" w:hRule="atLeast"/>
        </w:trPr>
        <w:tc>
          <w:tcPr>
            <w:tcW w:w="311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КДНЗ №22 «Усмішка» (психологічний центр)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4003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306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135</w:t>
            </w:r>
          </w:p>
        </w:tc>
        <w:tc>
          <w:tcPr>
            <w:tcW w:w="10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16 929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0,03</w:t>
            </w:r>
          </w:p>
        </w:tc>
        <w:tc>
          <w:tcPr>
            <w:tcW w:w="10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145" w:leader="none"/>
              </w:tabs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0,44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/>
        <w:drawing>
          <wp:inline distT="0" distB="0" distL="0" distR="0">
            <wp:extent cx="6720840" cy="4559935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результатами проведеного аналізу встановлено, що найбільш енергозатратними по споживанню теплової енергії на 1м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є будівлі КДНЗ №5 «Червона шапочка» та КДНЗ № 11 «Сонечко».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Так, споживання теплової енергії на 1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 роках складає відповідно: 2015 р. – 0,17 Гкал, 2016 р. – 0,21 та 0,19 Гкал, 2017 р. – 0,2 та 0,19 Гкал, І півріччя 2018 р. – 0,11 Гкал.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Найбільш енергозатратною по споживанню на 1 особу є будівля КЗ «НВК №2-дошкільне відділення».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Так, споживання теплової енергії на 1 особу по роках складає відповідно: 2015 р . – 2,34 Гкал, 2016 р. – 2,44 Гкал, 2017 р. – 2,49 Гкал, І півріччя 2018 р. – 1,43 Гкал.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Найменш енергозатратною є будівля КДНЗ №22 «Усмішка».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Так, споживання теплової енергії на 1м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 роках становить відповідно: 2015 р. – 0,05 Гкал, 2016 р. – 0,06 Гкал, 2017 р. – 0,05 Гкал, І півріччя 2018 р. – 0,03 Гкал.  Споживання теплової енергії на 1 особу по роках складає відповідно: 2015 р. – 0,83 Гкал, 2016 р. -  0,83 Гкал, 2017 р. – 0,6 Гкал, І півріччя 2018 р. – 0,4 Гкал.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4.5.3 Порівняльний аналіз споживання теплової енергії двох об’єктів шкільних навчальних закладів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Для аналізу споживання та витрат на теплову енергію  2017 року обрано об’єкти  КЗ «НВК №1 – шкільне відділення» та КЗ «СЗШ №6», які є однаковими за технічними характеристиками згідно проекту: площа – 5939,0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; опалювальний об’єм 23 888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але різними за видом опалення – КЗ «НВК №1 – шкільне відділення» опалюється котельнею з використанням альтернативного виду палива ТОВ «АПС Пауер Технолоджи», КЗ «СЗШ №6» опалюється газовою котельнею. </w:t>
      </w:r>
    </w:p>
    <w:tbl>
      <w:tblPr>
        <w:tblStyle w:val="a3"/>
        <w:tblpPr w:bottomFromText="0" w:horzAnchor="margin" w:leftFromText="180" w:rightFromText="180" w:tblpX="0" w:tblpXSpec="center" w:tblpY="2350" w:topFromText="0" w:vertAnchor="text"/>
        <w:tblW w:w="10456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1401"/>
        <w:gridCol w:w="1581"/>
        <w:gridCol w:w="1600"/>
        <w:gridCol w:w="1505"/>
        <w:gridCol w:w="988"/>
        <w:gridCol w:w="1289"/>
      </w:tblGrid>
      <w:tr>
        <w:trPr/>
        <w:tc>
          <w:tcPr>
            <w:tcW w:w="2091" w:type="dxa"/>
            <w:vMerge w:val="restart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обє</w:t>
            </w:r>
            <w:r>
              <w:rPr>
                <w:rFonts w:cs="Times New Roman" w:ascii="Times New Roman" w:hAnsi="Times New Roman"/>
                <w:lang w:val="en-US"/>
              </w:rPr>
              <w:t>’</w:t>
            </w:r>
            <w:r>
              <w:rPr>
                <w:rFonts w:cs="Times New Roman" w:ascii="Times New Roman" w:hAnsi="Times New Roman"/>
                <w:lang w:val="uk-UA"/>
              </w:rPr>
              <w:t>кту</w:t>
            </w:r>
          </w:p>
        </w:tc>
        <w:tc>
          <w:tcPr>
            <w:tcW w:w="2982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Тариф</w:t>
            </w:r>
          </w:p>
        </w:tc>
        <w:tc>
          <w:tcPr>
            <w:tcW w:w="1600" w:type="dxa"/>
            <w:vMerge w:val="restart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Фактично спожито природного газу (м</w:t>
            </w:r>
            <w:r>
              <w:rPr>
                <w:rFonts w:cs="Times New Roman" w:ascii="Times New Roman" w:hAnsi="Times New Roman"/>
                <w:vertAlign w:val="superscript"/>
                <w:lang w:val="uk-UA"/>
              </w:rPr>
              <w:t>3</w:t>
            </w:r>
            <w:r>
              <w:rPr>
                <w:rFonts w:cs="Times New Roman" w:ascii="Times New Roman" w:hAnsi="Times New Roman"/>
                <w:lang w:val="uk-UA"/>
              </w:rPr>
              <w:t>)</w:t>
            </w:r>
          </w:p>
        </w:tc>
        <w:tc>
          <w:tcPr>
            <w:tcW w:w="1505" w:type="dxa"/>
            <w:vMerge w:val="restart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Фактично спожито теплової енергії (Гкал)</w:t>
            </w:r>
          </w:p>
        </w:tc>
        <w:tc>
          <w:tcPr>
            <w:tcW w:w="2277" w:type="dxa"/>
            <w:gridSpan w:val="2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Фактично сплачено</w:t>
            </w:r>
          </w:p>
        </w:tc>
      </w:tr>
      <w:tr>
        <w:trPr/>
        <w:tc>
          <w:tcPr>
            <w:tcW w:w="2091" w:type="dxa"/>
            <w:vMerge w:val="continue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4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теплова енергія (грн.)</w:t>
            </w:r>
          </w:p>
        </w:tc>
        <w:tc>
          <w:tcPr>
            <w:tcW w:w="158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природний газ (грн.) середнє значення</w:t>
            </w:r>
          </w:p>
        </w:tc>
        <w:tc>
          <w:tcPr>
            <w:tcW w:w="1600" w:type="dxa"/>
            <w:vMerge w:val="continue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505" w:type="dxa"/>
            <w:vMerge w:val="continue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98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теплова енергія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(грн.)</w:t>
            </w:r>
          </w:p>
        </w:tc>
        <w:tc>
          <w:tcPr>
            <w:tcW w:w="1289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природний газ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(грн.)</w:t>
            </w:r>
          </w:p>
        </w:tc>
      </w:tr>
      <w:tr>
        <w:trPr/>
        <w:tc>
          <w:tcPr>
            <w:tcW w:w="209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«НВК №1-шкільне відділення»</w:t>
            </w:r>
          </w:p>
        </w:tc>
        <w:tc>
          <w:tcPr>
            <w:tcW w:w="14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1 774,01</w:t>
            </w:r>
          </w:p>
        </w:tc>
        <w:tc>
          <w:tcPr>
            <w:tcW w:w="158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</w:t>
            </w:r>
          </w:p>
        </w:tc>
        <w:tc>
          <w:tcPr>
            <w:tcW w:w="160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</w:t>
            </w:r>
          </w:p>
        </w:tc>
        <w:tc>
          <w:tcPr>
            <w:tcW w:w="150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280</w:t>
            </w:r>
          </w:p>
        </w:tc>
        <w:tc>
          <w:tcPr>
            <w:tcW w:w="98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496 722</w:t>
            </w:r>
          </w:p>
        </w:tc>
        <w:tc>
          <w:tcPr>
            <w:tcW w:w="1289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</w:t>
            </w:r>
          </w:p>
        </w:tc>
      </w:tr>
      <w:tr>
        <w:trPr>
          <w:trHeight w:val="491" w:hRule="atLeast"/>
        </w:trPr>
        <w:tc>
          <w:tcPr>
            <w:tcW w:w="209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КЗ «СЗШ №6»</w:t>
            </w:r>
          </w:p>
        </w:tc>
        <w:tc>
          <w:tcPr>
            <w:tcW w:w="14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</w:t>
            </w:r>
          </w:p>
        </w:tc>
        <w:tc>
          <w:tcPr>
            <w:tcW w:w="158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9,87</w:t>
            </w:r>
          </w:p>
        </w:tc>
        <w:tc>
          <w:tcPr>
            <w:tcW w:w="1600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57 622</w:t>
            </w:r>
          </w:p>
        </w:tc>
        <w:tc>
          <w:tcPr>
            <w:tcW w:w="150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(розрахунково)</w:t>
            </w:r>
          </w:p>
        </w:tc>
        <w:tc>
          <w:tcPr>
            <w:tcW w:w="98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*</w:t>
            </w:r>
          </w:p>
        </w:tc>
        <w:tc>
          <w:tcPr>
            <w:tcW w:w="1289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568 729</w:t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 зважаючи, що тариф на теплову енергію значно перевищує тариф на природний газ, фактичне споживання теплової енергії значно нижче за споживання теплової енергії, яка виділяється при згоранні 1м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газу.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Фактично відбулася економія бюджетних коштів на 72 007 грн., що становить 12,7% від попередньо розрахованих витрат.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  <w:drawing>
          <wp:inline distT="0" distB="0" distL="0" distR="0">
            <wp:extent cx="4607560" cy="356235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4.5.4 Плановий розрахунок споживання теплової енергії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планового розрахунку споживання теплової енергії враховуються норми споживання теплової енергії для опалення громадських будівель згідно Міжгалузевих норм споживання електричної та теплової енергії для установ і організацій бюджетної сфери України, затверджених наказом Державного Комітету України з Енергозбереження №91 від 25.10.99р.,  зареєстрованим в Міністерстві юстиції України 17.03.2000 р. за №175/4396, КТМ 204 України 244-94 «Норми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Україні», затверджений наказом Держжитлокомунгоспу України від 14.12.1993, призначений для планування потреб в теплоті та паливі на опалення, вентиляцію та гаряче водопостачання житлових та громадських споруд, а також на господарсько-побутові потреби та опалювальна площа кожної будівлі згідно з технічною документацією.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Формула споживання теплової енергії: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Q</w:t>
      </w:r>
      <w:r>
        <w:rPr>
          <w:rFonts w:cs="Times New Roman" w:ascii="Times New Roman" w:hAnsi="Times New Roman"/>
          <w:sz w:val="32"/>
          <w:szCs w:val="32"/>
        </w:rPr>
        <w:t xml:space="preserve"> = </w:t>
      </w:r>
      <w:r>
        <w:rPr>
          <w:rFonts w:cs="Times New Roman" w:ascii="Times New Roman" w:hAnsi="Times New Roman"/>
          <w:sz w:val="32"/>
          <w:szCs w:val="32"/>
          <w:lang w:val="en-US"/>
        </w:rPr>
        <w:t>n</w:t>
      </w:r>
      <w:r>
        <w:rPr>
          <w:rFonts w:cs="Times New Roman" w:ascii="Times New Roman" w:hAnsi="Times New Roman"/>
          <w:sz w:val="32"/>
          <w:szCs w:val="32"/>
        </w:rPr>
        <w:t xml:space="preserve"> * </w:t>
      </w:r>
      <w:r>
        <w:rPr>
          <w:rFonts w:cs="Times New Roman" w:ascii="Times New Roman" w:hAnsi="Times New Roman"/>
          <w:sz w:val="32"/>
          <w:szCs w:val="32"/>
          <w:lang w:val="en-US"/>
        </w:rPr>
        <w:t>V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де: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Q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uk-UA"/>
        </w:rPr>
        <w:t>кількість споживання теплової енергії (Гкал)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норма споживання 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опалювальний об’єм будівлі (м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результатом розрахунків визначено, що план споживання теплової енергії на 2018 рік становить 9 807,39 Гкал. Протягом І півріччя 2018 року фактично спожито – 4 615,77 Гкал.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План споживання теплової енергії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5486400" cy="308610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Враховуючи калорійність газу, тобто кількість теплової енергії, яка виділиться після спалювання 1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газу, необхідні обсяги споживання природного газу на 2018 рік складають 872 721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. Фактично спожито природного газу в І півріччі 2018 року – 441 502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План споживання природного газу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5486400" cy="334327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 Перспективи та завдання енергозбереження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5.1 План заміщення споживання природного газу альтернативними видами палива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початку опалювального сезону 2018-2019, відбудеться скорочення споживання природного газу шляхом його заміщення альтернативними видами палива, за рахунок двох побудованих котелень для опалення 8 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єктів соціальної сфери. </w:t>
      </w:r>
    </w:p>
    <w:tbl>
      <w:tblPr>
        <w:tblStyle w:val="a3"/>
        <w:tblpPr w:bottomFromText="0" w:horzAnchor="margin" w:leftFromText="180" w:rightFromText="180" w:tblpX="0" w:tblpY="956" w:topFromText="0" w:vertAnchor="text"/>
        <w:tblW w:w="9889" w:type="dxa"/>
        <w:jc w:val="left"/>
        <w:tblInd w:w="93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"/>
        <w:gridCol w:w="3701"/>
        <w:gridCol w:w="5352"/>
      </w:tblGrid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 знаходження об’єкту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Назва об’єкту соціальної  сфери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Г.України, 6а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КДНЗ №13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Чиатурська, 6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КЗ «СЗШ №6»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7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КЗ «НВК №2» (дошкільне відділення)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10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КДНЗ №21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15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КЗ «НВК №2» (шкільне відділення)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29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КДНЗ №22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29а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КЗ «СЗШ №9»</w:t>
            </w:r>
          </w:p>
        </w:tc>
      </w:tr>
      <w:tr>
        <w:trPr/>
        <w:tc>
          <w:tcPr>
            <w:tcW w:w="83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01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 Чайкіної Л., 31</w:t>
            </w:r>
          </w:p>
        </w:tc>
        <w:tc>
          <w:tcPr>
            <w:tcW w:w="535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КДНЗ №22 (психологічний центр)</w:t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Об</w:t>
      </w:r>
      <w:r>
        <w:rPr>
          <w:rFonts w:cs="Times New Roman" w:ascii="Times New Roman" w:hAnsi="Times New Roman"/>
          <w:i/>
          <w:sz w:val="28"/>
          <w:szCs w:val="28"/>
        </w:rPr>
        <w:t>’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єкти соціальної сфери, які опалюватимуться альтернативними видами палива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зв’язку з введенням в дію ТОВ «АПС Пауер Технолоджи»  2 котелень з використанням альтернативного палива загальною потужністю 4,5 МВт, буде припинена експлуатація 7 котелень з використанням природного газу. Це дозволить скоротити споживання природного газу на 471 900 м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cs="Times New Roman" w:ascii="Times New Roman" w:hAnsi="Times New Roman"/>
          <w:sz w:val="28"/>
          <w:szCs w:val="28"/>
          <w:lang w:val="uk-UA"/>
        </w:rPr>
        <w:t>, що становить 54% від запланованих обсягів споживання природного газу.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5200650" cy="289560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5.2 Впровадження енергоефективної системи освітлення в м. Покров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2016 року  виконавчим комітетом Покровської міської ради розпочато роботу щодо залучення кредитних коштів від Північно-Екологічної корпорації НЕФКО на модернізацію ліній вуличного освітлення. Результатом роботи є підписання 28 грудня 2017 року між Покровською міською радою та НЕФКО кредитного договору. Місто Покров ввійшов в число 7 міст з якими корпорація уклала кредитні договори.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16 квітня 2018 року підписана угода з переможцем тендеру ТОВ «Дорстрой Монтаж», який є підрядником щодо здійснення модернізації ліній освітлення шляхом встановлення економних, енергозберігаючих світильників (виробництва ТОВ «Шредер» та компанії </w:t>
      </w:r>
      <w:r>
        <w:rPr>
          <w:rFonts w:cs="Times New Roman" w:ascii="Times New Roman" w:hAnsi="Times New Roman"/>
          <w:sz w:val="28"/>
          <w:szCs w:val="28"/>
          <w:lang w:val="en-US"/>
        </w:rPr>
        <w:t>PHILIPS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) з установкою системи дистанційного керування.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Запропонований проект передбачає заміну 1 361 існуючих світильників з лампами потужністю 150 Вт на світильники з </w:t>
      </w:r>
      <w:r>
        <w:rPr>
          <w:rFonts w:cs="Times New Roman" w:ascii="Times New Roman" w:hAnsi="Times New Roman"/>
          <w:sz w:val="28"/>
          <w:szCs w:val="28"/>
          <w:lang w:val="en-US"/>
        </w:rPr>
        <w:t>LED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лампами потужністю 35, 75 та 100 Вт, а також заміна 704 ртутних ламп потужністю 250 Вт, що переважно освітлюють дворові території, на світильники з </w:t>
      </w:r>
      <w:r>
        <w:rPr>
          <w:rFonts w:cs="Times New Roman" w:ascii="Times New Roman" w:hAnsi="Times New Roman"/>
          <w:sz w:val="28"/>
          <w:szCs w:val="28"/>
          <w:lang w:val="en-US"/>
        </w:rPr>
        <w:t>LED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лампами потужністю 20 Вт. , що дасть можливість реалізувати економію бюджетних коштів до 3 разів.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Маючи високу світловидатність, світлодіоди є зручними для внутрішнього і зовнішнього освітлення. Завдяки тривалому терміну служби і стабільному світловому потоку, цей вид джерел світла є найефективнішим на сьогодні. Згідно з технічними параметрами, ці лампи є більш економічними у використанні, ніж лампи розжарювання.</w:t>
      </w:r>
    </w:p>
    <w:p>
      <w:pPr>
        <w:pStyle w:val="Normal"/>
        <w:spacing w:before="0" w:after="0"/>
        <w:ind w:right="95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Економічні переваги світлодіоду: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Низьке енергоспоживання (до 10 разів менше еквівалентної лампи розжарювання)</w:t>
      </w:r>
      <w:r>
        <w:rPr>
          <w:rFonts w:cs="Times New Roman" w:ascii="Times New Roman" w:hAnsi="Times New Roman"/>
          <w:strike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Відсутність необхідності утилізації (відсутні токсичні складові та витрати на утилізацію).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Нестабільність напруги в мережі не тягне за собою перегорання світильника.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Низьке (відсутнє) навантаження на електромережу.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Термін служби 10 років при експлуатації від 6 до 10 годин на добу.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Надійність і працездатність при температурах від -50 ° до +50 градусів.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 рахунок малого енергоспоживання потрійна економія коштів, мінімальна вартість обслуговування і раціональне використання світлового потоку.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Також економія коштів буде здійснюватись за рахунок застосування демінування світлового потоку у світильниках потужністю 106 Вт та 75 Вт.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Потенційний термін служби складає 100000 годин, що в 70 разів більше терміну служби лампи розжарювання; в 20 разів - люмінесцентних ламп, в 10-12 разів ламп ДНаТ. При цьому закінчення терміну служби світлодіода, на відміну від традиційних джерел світла, не означає незапланованого відключення світла, а лише зменшення на 30% світловіддачі.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Потенційний Коефіцієнт корисної дії (ККД) світлодіодів близький до 100%.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5.3 Встановлення автоматизованої системи керування вуличним освітленням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Існуюча в місті система керування вуличним освітленням не забезпечує сучасно необхідного та якісного переліку функцій. </w:t>
      </w:r>
      <w:r>
        <w:rPr>
          <w:rFonts w:cs="Times New Roman" w:ascii="Times New Roman" w:hAnsi="Times New Roman"/>
          <w:sz w:val="28"/>
          <w:szCs w:val="28"/>
          <w:lang w:val="uk-UA" w:eastAsia="uk-UA" w:bidi="uk-UA"/>
        </w:rPr>
        <w:t>Встановлення автоматизованої системи керування вуличним освітленням (АСКВО) в межах реалізації проекту надасть можливість щодо</w:t>
      </w:r>
      <w:r>
        <w:rPr>
          <w:rFonts w:cs="Times New Roman" w:ascii="Times New Roman" w:hAnsi="Times New Roman"/>
          <w:b/>
          <w:sz w:val="28"/>
          <w:szCs w:val="28"/>
          <w:lang w:val="uk-UA" w:eastAsia="uk-UA" w:bidi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керування електромережами зовнішнього освітлення згідно запрограмованого графіка включення та виключення, встановлення різних режимів зовнішнього освітлення з диспетчерського центру дистанційного управління системою освітлення. Керування вуличним освітленням та збір даних буде виконуватись за допомогою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GSM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мережі, по якій із диспетчерського  пункту в термінали, що знаходяться в шафах керування та назад буде передаватися сигнал.  </w:t>
      </w:r>
    </w:p>
    <w:p>
      <w:pPr>
        <w:pStyle w:val="Normal"/>
        <w:spacing w:before="0" w:after="0"/>
        <w:ind w:right="9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Економічний ефект встановлення цієї системи буде забезпечуватися: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чітким дотриманням графіка включення, відсутністю людського фактору при роботі системи в автоматичному режимі;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наявністю інформації зворотного зв'язку про включення необхідного режиму, що дозволяє скоротити час реакції диспетчера на нештатну ситуацію;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дистанційним контролем режимів роботи дозволяє виключити виїзди, пов'язані з перевіркою включення і відключення освітлення;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можливістю установки графіків включення індивідуально по районам (наприклад, «окраїна» і «центр») з оптимально підібраними зрушеннями часу включення і виключення;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дистанційним технічним урахуванням спожитої енергії, що дозволяє скоротити робочий час і транспортні витрати, необхідні при об'їздах для зняття показань;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можливістю виявляти зміни енергоспоживання, що дозволяють оперативно виявляти несанкціоновані підключення;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720" w:right="96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використанням алгоритмів оптимального кодування інформації, що дозволяє зменшити найбільш часто передаються інформаційних посилок і тим самим знизити час передачі інформації.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Переваги АСКВО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Вмикання/вимикання освітлення за поточним графіком із щоп’ятиденним коливанням в залежності від протяжності світового дня</w:t>
      </w:r>
    </w:p>
    <w:tbl>
      <w:tblPr>
        <w:tblpPr w:bottomFromText="0" w:horzAnchor="margin" w:leftFromText="180" w:rightFromText="180" w:tblpX="0" w:tblpY="2458" w:topFromText="0" w:vertAnchor="page"/>
        <w:tblW w:w="9571" w:type="dxa"/>
        <w:jc w:val="left"/>
        <w:tblInd w:w="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4"/>
        <w:gridCol w:w="1914"/>
        <w:gridCol w:w="1914"/>
        <w:gridCol w:w="1914"/>
        <w:gridCol w:w="1915"/>
      </w:tblGrid>
      <w:tr>
        <w:trPr/>
        <w:tc>
          <w:tcPr>
            <w:tcW w:w="19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180" w:leader="none"/>
                <w:tab w:val="center" w:pos="849" w:leader="none"/>
              </w:tabs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п’ятиднівки</w:t>
            </w:r>
          </w:p>
        </w:tc>
        <w:tc>
          <w:tcPr>
            <w:tcW w:w="38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Період</w:t>
            </w:r>
          </w:p>
        </w:tc>
        <w:tc>
          <w:tcPr>
            <w:tcW w:w="19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Час увімкнення</w:t>
            </w:r>
          </w:p>
        </w:tc>
        <w:tc>
          <w:tcPr>
            <w:tcW w:w="19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Час вимикання</w:t>
            </w:r>
          </w:p>
        </w:tc>
      </w:tr>
      <w:tr>
        <w:trPr/>
        <w:tc>
          <w:tcPr>
            <w:tcW w:w="191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Дата початку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Дата закінчення</w:t>
            </w:r>
          </w:p>
        </w:tc>
        <w:tc>
          <w:tcPr>
            <w:tcW w:w="191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  <w:tc>
          <w:tcPr>
            <w:tcW w:w="191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lang w:eastAsia="ru-RU"/>
              </w:rPr>
            </w:r>
          </w:p>
        </w:tc>
      </w:tr>
      <w:tr>
        <w:trPr/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01січ.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05 січ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16:19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7:22</w:t>
            </w:r>
          </w:p>
        </w:tc>
      </w:tr>
      <w:tr>
        <w:trPr/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01 квіт.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05 квіт.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18:34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5:05</w:t>
            </w:r>
          </w:p>
        </w:tc>
      </w:tr>
      <w:tr>
        <w:trPr/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30 черв.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04 липн.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20:06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3:34</w:t>
            </w:r>
          </w:p>
        </w:tc>
      </w:tr>
      <w:tr>
        <w:trPr/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03 жовт.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07 жовт.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17:35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5:35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</w:r>
    </w:p>
    <w:p>
      <w:pPr>
        <w:pStyle w:val="Xfmc1"/>
        <w:shd w:val="clear" w:color="auto" w:fill="FFFFFF"/>
        <w:spacing w:lineRule="auto" w:line="360" w:before="0" w:afterAutospacing="0" w:after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Димірування освітлення за режимами</w:t>
      </w:r>
    </w:p>
    <w:tbl>
      <w:tblPr>
        <w:tblW w:w="9571" w:type="dxa"/>
        <w:jc w:val="left"/>
        <w:tblInd w:w="8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6"/>
        <w:gridCol w:w="1136"/>
        <w:gridCol w:w="1136"/>
        <w:gridCol w:w="1134"/>
        <w:gridCol w:w="1099"/>
      </w:tblGrid>
      <w:tr>
        <w:trPr/>
        <w:tc>
          <w:tcPr>
            <w:tcW w:w="5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Поточний рівень освітленості, %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>
        <w:trPr/>
        <w:tc>
          <w:tcPr>
            <w:tcW w:w="5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Час початку димірування, год.хв.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22:30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0:00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4:30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6. Висновок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Згідно вимог стандарту ДСТУ </w:t>
      </w:r>
      <w:r>
        <w:rPr>
          <w:rFonts w:cs="Times New Roman" w:ascii="Times New Roman" w:hAnsi="Times New Roman"/>
          <w:sz w:val="28"/>
          <w:szCs w:val="28"/>
          <w:lang w:val="en-US"/>
        </w:rPr>
        <w:t>ISO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50001:2014 «Системи енергетичного менеджменту», основою енергетичного менеджменту є постійне функціонування циклічного процесу, що включає такі етапи: планування, виконання, перевірка та вдосконалення.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першому етапі енергетичної політики визначено основні завдання та цілі енергетичного менеджменту міста, здійснено збір необхідної загальної та технічної інформації, здійснено оцінку поточної ситуації з енергоспоживання та як наслідок - затверджено Концепцію запровадження системи енергетичного менеджменту на території м. Покров та Положення про енергетичну систему міста.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другому етапі проведено енергетичні обстеження об’єктів для впровадження енергоменеджменту, розпочато реалізацію запланованих заходів з енергозбереження, організовано систему обліку енергоспоживання.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третьому етапі енергетичної політики здійснено оцінку отриманих даних та запроваджено щоденний моніторинг енергоспоживання.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Пройшовши три етапи енергетичної політики та визначивши недоліки та проблеми існуючої системи, на даному четвертому етапі, здійснюється визначення майбутніх кроків з підвищення ефективності енергоспоживання та усунення існуючих недоліків системи.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огляду на те, що система енергетичного менеджменту є циклічним процесом, в подальшому відбуватиметься постійне вдосконалення складових етапів енергетичної політики у зв’язку з необхідністю запровадження нових засобів реалізації енергетичного менеджменту.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Наразі можна стверджувати, що запровадження та функціонування існуючої системи енергоменеджменту на території м. Покров надало можливості щодо аналізу обсягів споживання енергоресурсів та їх порівняння з нормативними, виявило можливості їх економії та як наслідок, заощадження бюджетних коштів.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ind w:firstLine="708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економіки</w:t>
        <w:tab/>
        <w:tab/>
        <w:tab/>
        <w:tab/>
        <w:t>О.Ю. Глазкова</w:t>
      </w:r>
    </w:p>
    <w:sectPr>
      <w:type w:val="nextPage"/>
      <w:pgSz w:w="11906" w:h="16838"/>
      <w:pgMar w:left="1276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74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qFormat/>
    <w:rsid w:val="008d49f5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02f1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c038f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c038f"/>
    <w:rPr/>
  </w:style>
  <w:style w:type="character" w:styleId="41" w:customStyle="1">
    <w:name w:val="Заголовок 4 Знак"/>
    <w:basedOn w:val="DefaultParagraphFont"/>
    <w:link w:val="4"/>
    <w:qFormat/>
    <w:rsid w:val="008d49f5"/>
    <w:rPr>
      <w:rFonts w:ascii="Times New Roman" w:hAnsi="Times New Roman" w:eastAsia="Times New Roman" w:cs="Times New Roman"/>
      <w:b/>
      <w:bCs/>
      <w:sz w:val="28"/>
      <w:szCs w:val="28"/>
      <w:lang w:val="uk-UA" w:eastAsia="uk-UA"/>
    </w:rPr>
  </w:style>
  <w:style w:type="character" w:styleId="3" w:customStyle="1">
    <w:name w:val="Основной текст 3 Знак"/>
    <w:basedOn w:val="DefaultParagraphFont"/>
    <w:link w:val="3"/>
    <w:qFormat/>
    <w:rsid w:val="008d49f5"/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Times New Roman" w:cs="Arial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Aria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Calibri" w:cs="Times New Roman"/>
      <w:sz w:val="2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Calibri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ListLabel25">
    <w:name w:val="ListLabel 25"/>
    <w:qFormat/>
    <w:rPr>
      <w:rFonts w:ascii="Times New Roman" w:hAnsi="Times New Roman" w:cs="Aria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Aria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Times New Roman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Arial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Arial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Times New Roman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Arial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Times New Roman" w:hAnsi="Times New Roman" w:cs="Aria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Times New Roman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 w:cs="Times New Roman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02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39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8"/>
    <w:uiPriority w:val="99"/>
    <w:unhideWhenUsed/>
    <w:rsid w:val="00dc038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dc038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Xfmc1" w:customStyle="1">
    <w:name w:val="xfmc1"/>
    <w:basedOn w:val="Normal"/>
    <w:qFormat/>
    <w:rsid w:val="008679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0"/>
    <w:qFormat/>
    <w:rsid w:val="008d49f5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BodyText2" w:customStyle="1">
    <w:name w:val="Body Text 2"/>
    <w:basedOn w:val="Normal"/>
    <w:qFormat/>
    <w:rsid w:val="008d49f5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NormalWeb">
    <w:name w:val="Normal (Web)"/>
    <w:basedOn w:val="Normal"/>
    <w:uiPriority w:val="99"/>
    <w:unhideWhenUsed/>
    <w:qFormat/>
    <w:rsid w:val="008d4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f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Relationship Id="rId11" Type="http://schemas.openxmlformats.org/officeDocument/2006/relationships/chart" Target="charts/chart8.xml"/><Relationship Id="rId12" Type="http://schemas.openxmlformats.org/officeDocument/2006/relationships/chart" Target="charts/chart9.xml"/><Relationship Id="rId13" Type="http://schemas.openxmlformats.org/officeDocument/2006/relationships/chart" Target="charts/chart10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Показники ресурсу Електрична енергія</a:t>
            </a:r>
          </a:p>
        </c:rich>
      </c:tx>
      <c:overlay val="0"/>
    </c:title>
    <c:autoTitleDeleted val="0"/>
    <c:plotArea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кВт*год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</c:dLbl>
            <c:dLblPos val="ct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2017 рік </c:v>
                </c:pt>
                <c:pt idx="1">
                  <c:v>2018 рік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882211</c:v>
                </c:pt>
                <c:pt idx="1">
                  <c:v>780808</c:v>
                </c:pt>
              </c:numCache>
            </c:numRef>
          </c:val>
        </c:ser>
        <c:gapWidth val="100"/>
        <c:overlap val="100"/>
        <c:axId val="69568284"/>
        <c:axId val="58452855"/>
      </c:barChart>
      <c:catAx>
        <c:axId val="6956828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58452855"/>
        <c:crosses val="autoZero"/>
        <c:auto val="1"/>
        <c:lblAlgn val="ctr"/>
        <c:lblOffset val="100"/>
      </c:catAx>
      <c:valAx>
        <c:axId val="5845285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956828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Скорочення споживання природного газу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Скорочення споживання природного газу</c:v>
                </c:pt>
              </c:strCache>
            </c:strRef>
          </c:tx>
          <c:spPr>
            <a:solidFill>
              <a:srgbClr val="f79646"/>
            </a:solidFill>
            <a:ln w="9360">
              <a:solidFill>
                <a:srgbClr val="b46b2e"/>
              </a:solidFill>
              <a:round/>
            </a:ln>
          </c:spPr>
          <c:explosion val="0"/>
          <c:dPt>
            <c:idx val="0"/>
            <c:spPr>
              <a:solidFill>
                <a:srgbClr val="dc853e"/>
              </a:solidFill>
              <a:ln w="9360">
                <a:solidFill>
                  <a:srgbClr val="b46b2e"/>
                </a:solidFill>
                <a:round/>
              </a:ln>
            </c:spPr>
          </c:dPt>
          <c:dPt>
            <c:idx val="1"/>
            <c:spPr>
              <a:solidFill>
                <a:srgbClr val="f8b590"/>
              </a:solidFill>
              <a:ln w="9360">
                <a:solidFill>
                  <a:srgbClr val="b46b2e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Споживання </c:v>
                </c:pt>
                <c:pt idx="1">
                  <c:v>Скорочення споживання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% замінених ламп розжарювання від загальної к-ті ламп розжарювання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 замінених ламп розжарювання від загальної к-ті ламп розжарювання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Загальна к-ть ламп розжарювання у %</c:v>
                </c:pt>
                <c:pt idx="1">
                  <c:v>К-ть замінених ламп розжарювання у 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88.02</c:v>
                </c:pt>
                <c:pt idx="1">
                  <c:v>11.98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Показники ресурсу Водопостачання та водовідведення</a:t>
            </a:r>
          </a:p>
        </c:rich>
      </c:tx>
      <c:overlay val="0"/>
    </c:title>
    <c:autoTitleDeleted val="0"/>
    <c:plotArea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2017 рік</c:v>
                </c:pt>
                <c:pt idx="1">
                  <c:v>2018 рік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18587</c:v>
                </c:pt>
                <c:pt idx="1">
                  <c:v>17163</c:v>
                </c:pt>
              </c:numCache>
            </c:numRef>
          </c:val>
        </c:ser>
        <c:gapWidth val="150"/>
        <c:overlap val="100"/>
        <c:axId val="22000581"/>
        <c:axId val="49448525"/>
      </c:barChart>
      <c:catAx>
        <c:axId val="2200058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9448525"/>
        <c:crosses val="autoZero"/>
        <c:auto val="1"/>
        <c:lblAlgn val="ctr"/>
        <c:lblOffset val="100"/>
      </c:catAx>
      <c:valAx>
        <c:axId val="4944852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22000581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Показники ресурсу Природний газ </a:t>
            </a:r>
          </a:p>
        </c:rich>
      </c:tx>
      <c:overlay val="0"/>
    </c:title>
    <c:autoTitleDeleted val="0"/>
    <c:plotArea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 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2015 рік</c:v>
                </c:pt>
                <c:pt idx="1">
                  <c:v>2016 рік </c:v>
                </c:pt>
                <c:pt idx="2">
                  <c:v>2017 рік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770428</c:v>
                </c:pt>
                <c:pt idx="1">
                  <c:v>775668</c:v>
                </c:pt>
                <c:pt idx="2">
                  <c:v>740545</c:v>
                </c:pt>
              </c:numCache>
            </c:numRef>
          </c:val>
        </c:ser>
        <c:gapWidth val="150"/>
        <c:overlap val="100"/>
        <c:axId val="86785951"/>
        <c:axId val="11020423"/>
      </c:barChart>
      <c:catAx>
        <c:axId val="8678595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1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11020423"/>
        <c:crosses val="autoZero"/>
        <c:auto val="1"/>
        <c:lblAlgn val="ctr"/>
        <c:lblOffset val="100"/>
      </c:catAx>
      <c:valAx>
        <c:axId val="1102042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785951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І півріччя 
2018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5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КЗ </c:v>
                </c:pt>
                <c:pt idx="4">
                  <c:v/>
                </c:pt>
                <c:pt idx="5">
                  <c:v/>
                </c:pt>
                <c:pt idx="6">
                  <c:v>КЗ </c:v>
                </c:pt>
                <c:pt idx="7">
                  <c:v/>
                </c:pt>
                <c:pt idx="8">
                  <c:v/>
                </c:pt>
                <c:pt idx="9">
                  <c:v>КЗ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/>
                </c:pt>
                <c:pt idx="15">
                  <c:v>КЗ </c:v>
                </c:pt>
                <c:pt idx="16">
                  <c:v/>
                </c:pt>
                <c:pt idx="17">
                  <c:v/>
                </c:pt>
                <c:pt idx="18">
                  <c:v>КЗ </c:v>
                </c:pt>
                <c:pt idx="19">
                  <c:v>;</c:v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>КЗ </c:v>
                </c:pt>
                <c:pt idx="2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0.15</c:v>
                </c:pt>
                <c:pt idx="1">
                  <c:v>0.15</c:v>
                </c:pt>
                <c:pt idx="2">
                  <c:v>0.12</c:v>
                </c:pt>
                <c:pt idx="3">
                  <c:v>0.07</c:v>
                </c:pt>
                <c:pt idx="4">
                  <c:v>0.06</c:v>
                </c:pt>
                <c:pt idx="5">
                  <c:v>0.06</c:v>
                </c:pt>
                <c:pt idx="6">
                  <c:v>0.05</c:v>
                </c:pt>
                <c:pt idx="7">
                  <c:v>0.05</c:v>
                </c:pt>
                <c:pt idx="8">
                  <c:v>0.04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5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КЗ </c:v>
                </c:pt>
                <c:pt idx="4">
                  <c:v/>
                </c:pt>
                <c:pt idx="5">
                  <c:v/>
                </c:pt>
                <c:pt idx="6">
                  <c:v>КЗ </c:v>
                </c:pt>
                <c:pt idx="7">
                  <c:v/>
                </c:pt>
                <c:pt idx="8">
                  <c:v/>
                </c:pt>
                <c:pt idx="9">
                  <c:v>КЗ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/>
                </c:pt>
                <c:pt idx="15">
                  <c:v>КЗ </c:v>
                </c:pt>
                <c:pt idx="16">
                  <c:v/>
                </c:pt>
                <c:pt idx="17">
                  <c:v/>
                </c:pt>
                <c:pt idx="18">
                  <c:v>КЗ </c:v>
                </c:pt>
                <c:pt idx="19">
                  <c:v>;</c:v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>КЗ </c:v>
                </c:pt>
                <c:pt idx="2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25"/>
                <c:pt idx="0">
                  <c:v>0.26</c:v>
                </c:pt>
                <c:pt idx="1">
                  <c:v>0.24</c:v>
                </c:pt>
                <c:pt idx="2">
                  <c:v>0.19</c:v>
                </c:pt>
                <c:pt idx="3">
                  <c:v>0.12</c:v>
                </c:pt>
                <c:pt idx="4">
                  <c:v>0.11</c:v>
                </c:pt>
                <c:pt idx="5">
                  <c:v>0.11</c:v>
                </c:pt>
                <c:pt idx="6">
                  <c:v>0.09</c:v>
                </c:pt>
                <c:pt idx="7">
                  <c:v>0.07</c:v>
                </c:pt>
                <c:pt idx="8">
                  <c:v>0.06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2016 рік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5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КЗ </c:v>
                </c:pt>
                <c:pt idx="4">
                  <c:v/>
                </c:pt>
                <c:pt idx="5">
                  <c:v/>
                </c:pt>
                <c:pt idx="6">
                  <c:v>КЗ </c:v>
                </c:pt>
                <c:pt idx="7">
                  <c:v/>
                </c:pt>
                <c:pt idx="8">
                  <c:v/>
                </c:pt>
                <c:pt idx="9">
                  <c:v>КЗ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/>
                </c:pt>
                <c:pt idx="15">
                  <c:v>КЗ </c:v>
                </c:pt>
                <c:pt idx="16">
                  <c:v/>
                </c:pt>
                <c:pt idx="17">
                  <c:v/>
                </c:pt>
                <c:pt idx="18">
                  <c:v>КЗ </c:v>
                </c:pt>
                <c:pt idx="19">
                  <c:v>;</c:v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>КЗ </c:v>
                </c:pt>
                <c:pt idx="2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25"/>
                <c:pt idx="0">
                  <c:v>0.27</c:v>
                </c:pt>
                <c:pt idx="1">
                  <c:v>0.26</c:v>
                </c:pt>
                <c:pt idx="2">
                  <c:v>0.19</c:v>
                </c:pt>
                <c:pt idx="3">
                  <c:v>0.1</c:v>
                </c:pt>
                <c:pt idx="4">
                  <c:v>0.11</c:v>
                </c:pt>
                <c:pt idx="5">
                  <c:v>0.11</c:v>
                </c:pt>
                <c:pt idx="6">
                  <c:v>0.1</c:v>
                </c:pt>
                <c:pt idx="7">
                  <c:v>0.08</c:v>
                </c:pt>
                <c:pt idx="8">
                  <c:v>0.07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2015 рік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5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КЗ </c:v>
                </c:pt>
                <c:pt idx="4">
                  <c:v/>
                </c:pt>
                <c:pt idx="5">
                  <c:v/>
                </c:pt>
                <c:pt idx="6">
                  <c:v>КЗ </c:v>
                </c:pt>
                <c:pt idx="7">
                  <c:v/>
                </c:pt>
                <c:pt idx="8">
                  <c:v/>
                </c:pt>
                <c:pt idx="9">
                  <c:v>КЗ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/>
                </c:pt>
                <c:pt idx="15">
                  <c:v>КЗ </c:v>
                </c:pt>
                <c:pt idx="16">
                  <c:v/>
                </c:pt>
                <c:pt idx="17">
                  <c:v/>
                </c:pt>
                <c:pt idx="18">
                  <c:v>КЗ </c:v>
                </c:pt>
                <c:pt idx="19">
                  <c:v>;</c:v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>КЗ </c:v>
                </c:pt>
                <c:pt idx="2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25"/>
                <c:pt idx="0">
                  <c:v>0.2</c:v>
                </c:pt>
                <c:pt idx="1">
                  <c:v>0.2</c:v>
                </c:pt>
                <c:pt idx="2">
                  <c:v>0.17</c:v>
                </c:pt>
                <c:pt idx="3">
                  <c:v>0.12</c:v>
                </c:pt>
                <c:pt idx="4">
                  <c:v>0.1</c:v>
                </c:pt>
                <c:pt idx="5">
                  <c:v>0.09</c:v>
                </c:pt>
                <c:pt idx="6">
                  <c:v>0.09</c:v>
                </c:pt>
                <c:pt idx="7">
                  <c:v>0.07</c:v>
                </c:pt>
                <c:pt idx="8">
                  <c:v>0.05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</c:numCache>
            </c:numRef>
          </c:val>
        </c:ser>
        <c:gapWidth val="150"/>
        <c:shape val="box"/>
        <c:axId val="83767386"/>
        <c:axId val="46841788"/>
      </c:bar3DChart>
      <c:catAx>
        <c:axId val="8376738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6841788"/>
        <c:crosses val="autoZero"/>
        <c:auto val="1"/>
        <c:lblAlgn val="ctr"/>
        <c:lblOffset val="100"/>
      </c:catAx>
      <c:valAx>
        <c:axId val="4684178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767386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layout>
        <c:manualLayout>
          <c:xMode val="edge"/>
          <c:yMode val="edge"/>
          <c:x val="0.8740625"/>
          <c:y val="0.325"/>
        </c:manualLayout>
      </c:layout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І півріччя 
2018 року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6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КДНЗ №5 </c:v>
                </c:pt>
                <c:pt idx="4">
                  <c:v/>
                </c:pt>
                <c:pt idx="5">
                  <c:v/>
                </c:pt>
                <c:pt idx="6">
                  <c:v>КДНЗ №16 </c:v>
                </c:pt>
                <c:pt idx="7">
                  <c:v/>
                </c:pt>
                <c:pt idx="8">
                  <c:v/>
                </c:pt>
                <c:pt idx="9">
                  <c:v>КДНЗ №13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>;</c:v>
                </c:pt>
                <c:pt idx="15">
                  <c:v/>
                </c:pt>
                <c:pt idx="16">
                  <c:v/>
                </c:pt>
                <c:pt idx="17">
                  <c:v>;</c:v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>КДНЗ №18 </c:v>
                </c:pt>
                <c:pt idx="22">
                  <c:v/>
                </c:pt>
                <c:pt idx="23">
                  <c:v/>
                </c:pt>
                <c:pt idx="24">
                  <c:v>ДНЗ №22 </c:v>
                </c:pt>
                <c:pt idx="25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26"/>
                <c:pt idx="0">
                  <c:v>1.43</c:v>
                </c:pt>
                <c:pt idx="1">
                  <c:v>1.37</c:v>
                </c:pt>
                <c:pt idx="2">
                  <c:v>1.34</c:v>
                </c:pt>
                <c:pt idx="3">
                  <c:v>1.17</c:v>
                </c:pt>
                <c:pt idx="4">
                  <c:v>1.11</c:v>
                </c:pt>
                <c:pt idx="5">
                  <c:v>0.94</c:v>
                </c:pt>
                <c:pt idx="6">
                  <c:v>0.91</c:v>
                </c:pt>
                <c:pt idx="7">
                  <c:v>0.74</c:v>
                </c:pt>
                <c:pt idx="8">
                  <c:v>0.45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  <c:pt idx="25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6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КДНЗ №5 </c:v>
                </c:pt>
                <c:pt idx="4">
                  <c:v/>
                </c:pt>
                <c:pt idx="5">
                  <c:v/>
                </c:pt>
                <c:pt idx="6">
                  <c:v>КДНЗ №16 </c:v>
                </c:pt>
                <c:pt idx="7">
                  <c:v/>
                </c:pt>
                <c:pt idx="8">
                  <c:v/>
                </c:pt>
                <c:pt idx="9">
                  <c:v>КДНЗ №13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>;</c:v>
                </c:pt>
                <c:pt idx="15">
                  <c:v/>
                </c:pt>
                <c:pt idx="16">
                  <c:v/>
                </c:pt>
                <c:pt idx="17">
                  <c:v>;</c:v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>КДНЗ №18 </c:v>
                </c:pt>
                <c:pt idx="22">
                  <c:v/>
                </c:pt>
                <c:pt idx="23">
                  <c:v/>
                </c:pt>
                <c:pt idx="24">
                  <c:v>ДНЗ №22 </c:v>
                </c:pt>
                <c:pt idx="25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26"/>
                <c:pt idx="0">
                  <c:v>2.49</c:v>
                </c:pt>
                <c:pt idx="1">
                  <c:v>2.34</c:v>
                </c:pt>
                <c:pt idx="2">
                  <c:v>2.1</c:v>
                </c:pt>
                <c:pt idx="3">
                  <c:v>1.96</c:v>
                </c:pt>
                <c:pt idx="4">
                  <c:v>1.5</c:v>
                </c:pt>
                <c:pt idx="5">
                  <c:v>1.37</c:v>
                </c:pt>
                <c:pt idx="6">
                  <c:v>1.59</c:v>
                </c:pt>
                <c:pt idx="7">
                  <c:v>1.25</c:v>
                </c:pt>
                <c:pt idx="8">
                  <c:v>0.7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  <c:pt idx="25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2016 рік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6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КДНЗ №5 </c:v>
                </c:pt>
                <c:pt idx="4">
                  <c:v/>
                </c:pt>
                <c:pt idx="5">
                  <c:v/>
                </c:pt>
                <c:pt idx="6">
                  <c:v>КДНЗ №16 </c:v>
                </c:pt>
                <c:pt idx="7">
                  <c:v/>
                </c:pt>
                <c:pt idx="8">
                  <c:v/>
                </c:pt>
                <c:pt idx="9">
                  <c:v>КДНЗ №13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>;</c:v>
                </c:pt>
                <c:pt idx="15">
                  <c:v/>
                </c:pt>
                <c:pt idx="16">
                  <c:v/>
                </c:pt>
                <c:pt idx="17">
                  <c:v>;</c:v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>КДНЗ №18 </c:v>
                </c:pt>
                <c:pt idx="22">
                  <c:v/>
                </c:pt>
                <c:pt idx="23">
                  <c:v/>
                </c:pt>
                <c:pt idx="24">
                  <c:v>ДНЗ №22 </c:v>
                </c:pt>
                <c:pt idx="25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26"/>
                <c:pt idx="0">
                  <c:v>2.44</c:v>
                </c:pt>
                <c:pt idx="1">
                  <c:v>2.45</c:v>
                </c:pt>
                <c:pt idx="2">
                  <c:v>2.26</c:v>
                </c:pt>
                <c:pt idx="3">
                  <c:v>2.06</c:v>
                </c:pt>
                <c:pt idx="4">
                  <c:v>1.52</c:v>
                </c:pt>
                <c:pt idx="5">
                  <c:v>1.73</c:v>
                </c:pt>
                <c:pt idx="6">
                  <c:v>1.62</c:v>
                </c:pt>
                <c:pt idx="7">
                  <c:v>1.2</c:v>
                </c:pt>
                <c:pt idx="8">
                  <c:v>0.83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  <c:pt idx="25">
                  <c:v/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2015 рік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6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КДНЗ №5 </c:v>
                </c:pt>
                <c:pt idx="4">
                  <c:v/>
                </c:pt>
                <c:pt idx="5">
                  <c:v/>
                </c:pt>
                <c:pt idx="6">
                  <c:v>КДНЗ №16 </c:v>
                </c:pt>
                <c:pt idx="7">
                  <c:v/>
                </c:pt>
                <c:pt idx="8">
                  <c:v/>
                </c:pt>
                <c:pt idx="9">
                  <c:v>КДНЗ №13 </c:v>
                </c:pt>
                <c:pt idx="10">
                  <c:v/>
                </c:pt>
                <c:pt idx="11">
                  <c:v/>
                </c:pt>
                <c:pt idx="12">
                  <c:v>КЗ </c:v>
                </c:pt>
                <c:pt idx="13">
                  <c:v/>
                </c:pt>
                <c:pt idx="14">
                  <c:v>;</c:v>
                </c:pt>
                <c:pt idx="15">
                  <c:v/>
                </c:pt>
                <c:pt idx="16">
                  <c:v/>
                </c:pt>
                <c:pt idx="17">
                  <c:v>;</c:v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>КДНЗ №18 </c:v>
                </c:pt>
                <c:pt idx="22">
                  <c:v/>
                </c:pt>
                <c:pt idx="23">
                  <c:v/>
                </c:pt>
                <c:pt idx="24">
                  <c:v>ДНЗ №22 </c:v>
                </c:pt>
                <c:pt idx="25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26"/>
                <c:pt idx="0">
                  <c:v>2.34</c:v>
                </c:pt>
                <c:pt idx="1">
                  <c:v>2.05</c:v>
                </c:pt>
                <c:pt idx="2">
                  <c:v>1.88</c:v>
                </c:pt>
                <c:pt idx="3">
                  <c:v>2.05</c:v>
                </c:pt>
                <c:pt idx="4">
                  <c:v>1.05</c:v>
                </c:pt>
                <c:pt idx="5">
                  <c:v>1.52</c:v>
                </c:pt>
                <c:pt idx="6">
                  <c:v>1.45</c:v>
                </c:pt>
                <c:pt idx="7">
                  <c:v>1.14</c:v>
                </c:pt>
                <c:pt idx="8">
                  <c:v>0.83</c:v>
                </c:pt>
                <c:pt idx="9">
                  <c:v/>
                </c:pt>
                <c:pt idx="10">
                  <c:v/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  <c:pt idx="16">
                  <c:v/>
                </c:pt>
                <c:pt idx="17">
                  <c:v/>
                </c:pt>
                <c:pt idx="18">
                  <c:v/>
                </c:pt>
                <c:pt idx="19">
                  <c:v/>
                </c:pt>
                <c:pt idx="20">
                  <c:v/>
                </c:pt>
                <c:pt idx="21">
                  <c:v/>
                </c:pt>
                <c:pt idx="22">
                  <c:v/>
                </c:pt>
                <c:pt idx="23">
                  <c:v/>
                </c:pt>
                <c:pt idx="24">
                  <c:v/>
                </c:pt>
                <c:pt idx="25">
                  <c:v/>
                </c:pt>
              </c:numCache>
            </c:numRef>
          </c:val>
        </c:ser>
        <c:gapWidth val="150"/>
        <c:shape val="box"/>
        <c:axId val="71938671"/>
        <c:axId val="54389959"/>
      </c:bar3DChart>
      <c:catAx>
        <c:axId val="7193867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54389959"/>
        <c:crosses val="autoZero"/>
        <c:auto val="1"/>
        <c:lblAlgn val="ctr"/>
        <c:lblOffset val="100"/>
      </c:catAx>
      <c:valAx>
        <c:axId val="5438995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938671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Фактична економія витрат на ресурс Теплова енергія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Економія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КЗ </c:v>
                </c:pt>
                <c:pt idx="1">
                  <c:v/>
                </c:pt>
                <c:pt idx="2">
                  <c:v/>
                </c:pt>
                <c:pt idx="3">
                  <c:v>КЗ </c:v>
                </c:pt>
                <c:pt idx="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496722</c:v>
                </c:pt>
                <c:pt idx="1">
                  <c:v>568729</c:v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numCache>
            </c:numRef>
          </c:val>
        </c:ser>
        <c:gapWidth val="150"/>
        <c:shape val="box"/>
        <c:axId val="57579195"/>
        <c:axId val="30146675"/>
      </c:bar3DChart>
      <c:catAx>
        <c:axId val="57579195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30146675"/>
        <c:crosses val="autoZero"/>
        <c:auto val="1"/>
        <c:lblAlgn val="ctr"/>
        <c:lblOffset val="100"/>
      </c:catAx>
      <c:valAx>
        <c:axId val="3014667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579195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Показники розрахунку споживання теплової енергії</a:t>
            </a:r>
          </a:p>
        </c:rich>
      </c:tx>
      <c:overlay val="0"/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Гкал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на 2018 рік</c:v>
                </c:pt>
                <c:pt idx="1">
                  <c:v> І півріччя 2018 року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9807.39</c:v>
                </c:pt>
                <c:pt idx="1">
                  <c:v>4615.77</c:v>
                </c:pt>
              </c:numCache>
            </c:numRef>
          </c:val>
        </c:ser>
        <c:gapWidth val="150"/>
        <c:shape val="pyramid"/>
        <c:axId val="53645495"/>
        <c:axId val="46144219"/>
        <c:axId val="0"/>
      </c:bar3DChart>
      <c:catAx>
        <c:axId val="53645495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1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6144219"/>
        <c:crosses val="autoZero"/>
        <c:auto val="1"/>
        <c:lblAlgn val="ctr"/>
        <c:lblOffset val="100"/>
      </c:catAx>
      <c:valAx>
        <c:axId val="4614421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53645495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sz="1600" spc="-1" strike="noStrike">
                <a:solidFill>
                  <a:srgbClr val="000000"/>
                </a:solidFill>
                <a:latin typeface="Times New Roman"/>
              </a:rPr>
              <a:t>Показники розрахунку споживання ресурсу Природний газ</a:t>
            </a:r>
          </a:p>
        </c:rich>
      </c:tx>
      <c:overlay val="0"/>
    </c:title>
    <c:autoTitleDeleted val="0"/>
    <c:view3D>
      <c:rotX val="15"/>
      <c:rotY val="20"/>
      <c:rAngAx val="1"/>
      <c:perspective val="30"/>
    </c:view3D>
    <c:floor>
      <c:spPr>
        <a:solidFill>
          <a:srgbClr val="fdeee8"/>
        </a:solidFill>
        <a:ln w="9360">
          <a:solidFill>
            <a:srgbClr val="878787"/>
          </a:solidFill>
          <a:round/>
        </a:ln>
      </c:spPr>
    </c:floor>
    <c:backWall>
      <c:spPr>
        <a:solidFill>
          <a:srgbClr val="fdeee8"/>
        </a:solidFill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м3</c:v>
                </c:pt>
              </c:strCache>
            </c:strRef>
          </c:tx>
          <c:spPr>
            <a:solidFill>
              <a:srgbClr val="f79646"/>
            </a:solidFill>
            <a:ln w="9360">
              <a:solidFill>
                <a:srgbClr val="b46b2e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на 2018 рік</c:v>
                </c:pt>
                <c:pt idx="1">
                  <c:v>І півріччя 2018 року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872721</c:v>
                </c:pt>
                <c:pt idx="1">
                  <c:v>441502</c:v>
                </c:pt>
              </c:numCache>
            </c:numRef>
          </c:val>
        </c:ser>
        <c:gapWidth val="150"/>
        <c:shape val="box"/>
        <c:axId val="97339330"/>
        <c:axId val="54369290"/>
      </c:bar3DChart>
      <c:catAx>
        <c:axId val="9733933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1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54369290"/>
        <c:crosses val="autoZero"/>
        <c:auto val="1"/>
        <c:lblAlgn val="ctr"/>
        <c:lblOffset val="100"/>
      </c:catAx>
      <c:valAx>
        <c:axId val="5436929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339330"/>
        <c:crosses val="autoZero"/>
      </c:valAx>
      <c:spPr>
        <a:solidFill>
          <a:srgbClr val="fdeee8"/>
        </a:solidFill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CDD2-1599-4046-AC22-321C458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 LibreOffice_project/2524958677847fb3bb44820e40380acbe820f960</Application>
  <Pages>24</Pages>
  <Words>5560</Words>
  <Characters>33767</Characters>
  <CharactersWithSpaces>38602</CharactersWithSpaces>
  <Paragraphs>1230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2018-07-25T06:10:00Z</dcterms:created>
  <dc:creator>user207-1</dc:creator>
  <dc:description/>
  <dc:language>uk-UA</dc:language>
  <cp:lastModifiedBy/>
  <cp:lastPrinted>2018-07-25T09:34:51Z</cp:lastPrinted>
  <dcterms:modified xsi:type="dcterms:W3CDTF">2018-08-04T12:43:56Z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