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jc w:val="right"/>
        <w:rPr>
          <w:b/>
          <w:b/>
          <w:bCs/>
          <w:sz w:val="28"/>
          <w:szCs w:val="28"/>
        </w:rPr>
      </w:pPr>
      <w:r>
        <w:drawing>
          <wp:anchor behindDoc="0" distT="0" distB="0" distL="133985" distR="124460" simplePos="0" locked="0" layoutInCell="1"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8"/>
          <w:szCs w:val="28"/>
        </w:rPr>
        <w:t>к</w:t>
      </w:r>
      <w:r>
        <w:rPr>
          <w:b/>
          <w:bCs/>
          <w:sz w:val="28"/>
          <w:szCs w:val="28"/>
        </w:rPr>
        <w:t>опія</w:t>
      </w:r>
    </w:p>
    <w:p>
      <w:pPr>
        <w:pStyle w:val="Style15"/>
        <w:spacing w:before="0" w:after="0"/>
        <w:jc w:val="center"/>
        <w:rPr/>
      </w:pPr>
      <w:r>
        <w:rPr>
          <w:b/>
          <w:bCs/>
          <w:sz w:val="28"/>
          <w:szCs w:val="28"/>
        </w:rPr>
        <w:t>ПОКРОВСЬКА МІСЬКА РАДА</w:t>
      </w:r>
    </w:p>
    <w:p>
      <w:pPr>
        <w:pStyle w:val="Style15"/>
        <w:spacing w:before="0" w:after="0"/>
        <w:jc w:val="center"/>
        <w:rPr/>
      </w:pPr>
      <w:r>
        <w:rPr>
          <w:b/>
          <w:bCs/>
          <w:sz w:val="28"/>
          <w:szCs w:val="28"/>
        </w:rPr>
        <w:t>ДНІПРОПЕТРОВСЬКОЇ ОБЛАСТІ</w:t>
      </w:r>
    </w:p>
    <w:p>
      <w:pPr>
        <w:pStyle w:val="Style15"/>
        <w:spacing w:before="0" w:after="0"/>
        <w:jc w:val="center"/>
        <w:rPr/>
      </w:pPr>
      <w:r>
        <w:rPr/>
        <mc:AlternateContent>
          <mc:Choice Requires="wps">
            <w:drawing>
              <wp:anchor behindDoc="0" distT="0" distB="0" distL="0" distR="0" simplePos="0" locked="0" layoutInCell="1" allowOverlap="1" relativeHeight="3">
                <wp:simplePos x="0" y="0"/>
                <wp:positionH relativeFrom="column">
                  <wp:posOffset>16510</wp:posOffset>
                </wp:positionH>
                <wp:positionV relativeFrom="paragraph">
                  <wp:posOffset>90170</wp:posOffset>
                </wp:positionV>
                <wp:extent cx="6328410" cy="2349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327720" cy="198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6.35pt" to="499.5pt,7.85pt" ID="Прямая соединительная линия 1" stroked="t" style="position:absolute">
                <v:stroke color="black" weight="17640" joinstyle="miter" endcap="flat"/>
                <v:fill o:detectmouseclick="t" on="false"/>
              </v:line>
            </w:pict>
          </mc:Fallback>
        </mc:AlternateContent>
      </w:r>
    </w:p>
    <w:p>
      <w:pPr>
        <w:pStyle w:val="Style15"/>
        <w:spacing w:before="0" w:after="0"/>
        <w:jc w:val="center"/>
        <w:rPr/>
      </w:pPr>
      <w:r>
        <w:rPr>
          <w:b/>
          <w:sz w:val="28"/>
          <w:szCs w:val="28"/>
        </w:rPr>
        <w:t xml:space="preserve"> </w:t>
      </w:r>
      <w:r>
        <w:rPr>
          <w:b/>
          <w:sz w:val="28"/>
          <w:szCs w:val="28"/>
        </w:rPr>
        <w:t>РІШЕННЯ</w:t>
      </w:r>
    </w:p>
    <w:p>
      <w:pPr>
        <w:pStyle w:val="Style15"/>
        <w:spacing w:before="0" w:after="0"/>
        <w:jc w:val="center"/>
        <w:rPr>
          <w:b/>
          <w:b/>
          <w:sz w:val="28"/>
          <w:szCs w:val="28"/>
        </w:rPr>
      </w:pPr>
      <w:r>
        <w:rPr>
          <w:b/>
          <w:sz w:val="28"/>
          <w:szCs w:val="28"/>
        </w:rPr>
      </w:r>
    </w:p>
    <w:p>
      <w:pPr>
        <w:pStyle w:val="21"/>
        <w:ind w:hanging="0"/>
        <w:jc w:val="left"/>
        <w:rPr/>
      </w:pPr>
      <w:r>
        <w:rPr>
          <w:sz w:val="28"/>
          <w:szCs w:val="28"/>
        </w:rPr>
        <w:t>26.06.2020</w:t>
        <w:tab/>
        <w:tab/>
        <w:tab/>
        <w:t xml:space="preserve">                     м.Покров                            </w:t>
        <w:tab/>
        <w:tab/>
        <w:tab/>
        <w:t>№ 16</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(58 сесія 7 скликання)</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16" w:before="0" w:after="200"/>
        <w:ind w:right="-1"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16"/>
        <w:ind w:right="57" w:firstLine="709"/>
        <w:jc w:val="both"/>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постанови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міська  рада</w:t>
      </w:r>
    </w:p>
    <w:p>
      <w:pPr>
        <w:pStyle w:val="Normal"/>
        <w:spacing w:lineRule="auto" w:line="216"/>
        <w:ind w:right="57" w:hanging="0"/>
        <w:rPr/>
      </w:pPr>
      <w:r>
        <w:rPr>
          <w:rFonts w:ascii="Times New Roman" w:hAnsi="Times New Roman"/>
          <w:b/>
          <w:sz w:val="28"/>
          <w:szCs w:val="28"/>
        </w:rPr>
        <w:t>ВИРІШИЛА:</w:t>
      </w:r>
    </w:p>
    <w:p>
      <w:pPr>
        <w:pStyle w:val="Normal"/>
        <w:spacing w:lineRule="auto" w:line="216" w:before="0" w:after="0"/>
        <w:ind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 — ЦНАП)  у новій редакції, що додається.</w:t>
      </w:r>
    </w:p>
    <w:p>
      <w:pPr>
        <w:pStyle w:val="Style20"/>
        <w:tabs>
          <w:tab w:val="clear" w:pos="708"/>
          <w:tab w:val="left" w:pos="0" w:leader="none"/>
          <w:tab w:val="left" w:pos="567" w:leader="none"/>
          <w:tab w:val="left" w:pos="993" w:leader="none"/>
        </w:tabs>
        <w:suppressAutoHyphens w:val="true"/>
        <w:spacing w:lineRule="auto" w:line="216" w:before="0" w:after="0"/>
        <w:ind w:left="0" w:firstLine="567"/>
        <w:contextualSpacing/>
        <w:jc w:val="both"/>
        <w:rPr/>
      </w:pPr>
      <w:r>
        <w:rPr>
          <w:rFonts w:ascii="Times New Roman" w:hAnsi="Times New Roman"/>
          <w:sz w:val="28"/>
          <w:szCs w:val="28"/>
          <w:lang w:val="uk-UA"/>
        </w:rPr>
        <w:t>2. Суб’єктам надання послуг затвердити інформаційні та технологічні картки на послуги, що надаються через ЦНАП.</w:t>
      </w:r>
    </w:p>
    <w:p>
      <w:pPr>
        <w:pStyle w:val="Style20"/>
        <w:tabs>
          <w:tab w:val="clear" w:pos="708"/>
          <w:tab w:val="left" w:pos="0" w:leader="none"/>
          <w:tab w:val="left" w:pos="284"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3. Рішення 48 сесії міської ради 7 скликання від 30.08.2019 №18 вважати таким, що втратило чинність.</w:t>
      </w:r>
    </w:p>
    <w:p>
      <w:pPr>
        <w:pStyle w:val="Style20"/>
        <w:widowControl/>
        <w:tabs>
          <w:tab w:val="clear" w:pos="708"/>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4.Координацію виконання цього рішення покласти на ЦНАП                      (Клочковська І.В.),  контроль - на керуючого справами виконкому Відяєву Г.М.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0"/>
        <w:tabs>
          <w:tab w:val="clear" w:pos="708"/>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w:t>
        <w:tab/>
        <w:tab/>
        <w:tab/>
        <w:tab/>
        <w:tab/>
        <w:tab/>
        <w:tab/>
        <w:tab/>
        <w:tab/>
        <w:t>О.М. Шаповал</w:t>
      </w:r>
    </w:p>
    <w:p>
      <w:pPr>
        <w:pStyle w:val="Style20"/>
        <w:tabs>
          <w:tab w:val="clear" w:pos="7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sectPr>
          <w:type w:val="nextPage"/>
          <w:pgSz w:w="11906" w:h="16838"/>
          <w:pgMar w:left="1134" w:right="850" w:header="0" w:top="851" w:footer="0" w:bottom="709" w:gutter="0"/>
          <w:pgNumType w:fmt="decimal"/>
          <w:formProt w:val="false"/>
          <w:textDirection w:val="lrTb"/>
          <w:docGrid w:type="default" w:linePitch="360" w:charSpace="4096"/>
        </w:sectPr>
        <w:pStyle w:val="Style20"/>
        <w:tabs>
          <w:tab w:val="clear" w:pos="708"/>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Клочковська,42031</w:t>
      </w:r>
      <w:bookmarkEnd w:id="1"/>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58  сесії  міської ради</w:t>
      </w:r>
    </w:p>
    <w:p>
      <w:pPr>
        <w:pStyle w:val="Normal"/>
        <w:spacing w:lineRule="auto" w:line="240" w:before="0" w:after="0"/>
        <w:contextualSpacing/>
        <w:jc w:val="center"/>
        <w:rPr/>
      </w:pPr>
      <w:r>
        <w:rPr>
          <w:rFonts w:ascii="Times New Roman" w:hAnsi="Times New Roman"/>
          <w:color w:val="000000"/>
          <w:sz w:val="24"/>
          <w:szCs w:val="24"/>
        </w:rPr>
        <w:tab/>
        <w:tab/>
        <w:tab/>
        <w:tab/>
        <w:tab/>
        <w:tab/>
        <w:t xml:space="preserve">    7 скликання </w:t>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26. 06. 2020    №  16</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spacing w:lineRule="auto" w:line="240" w:before="0" w:after="0"/>
        <w:ind w:left="720" w:right="0" w:hanging="284"/>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p>
    <w:p>
      <w:pPr>
        <w:pStyle w:val="Normal"/>
        <w:spacing w:lineRule="auto" w:line="240" w:before="0" w:after="0"/>
        <w:ind w:left="720" w:right="0" w:hanging="284"/>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575" w:type="dxa"/>
        <w:jc w:val="left"/>
        <w:tblInd w:w="-352" w:type="dxa"/>
        <w:tblCellMar>
          <w:top w:w="0" w:type="dxa"/>
          <w:left w:w="103" w:type="dxa"/>
          <w:bottom w:w="0" w:type="dxa"/>
          <w:right w:w="108" w:type="dxa"/>
        </w:tblCellMar>
      </w:tblPr>
      <w:tblGrid>
        <w:gridCol w:w="616"/>
        <w:gridCol w:w="1477"/>
        <w:gridCol w:w="8482"/>
      </w:tblGrid>
      <w:tr>
        <w:trPr>
          <w:trHeight w:val="1410"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tabs>
                <w:tab w:val="clear" w:pos="7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tabs>
                <w:tab w:val="clear" w:pos="7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01-2</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708"/>
                <w:tab w:val="center" w:pos="4153" w:leader="none"/>
                <w:tab w:val="right" w:pos="8306" w:leader="none"/>
              </w:tabs>
              <w:ind w:left="0" w:right="0" w:hanging="0"/>
              <w:rPr>
                <w:color w:val="000000"/>
                <w:sz w:val="24"/>
                <w:lang w:eastAsia="uk-UA" w:bidi="uk-UA"/>
              </w:rPr>
            </w:pPr>
            <w:r>
              <w:rPr>
                <w:color w:val="000000"/>
                <w:sz w:val="24"/>
                <w:lang w:eastAsia="uk-UA" w:bidi="uk-UA"/>
              </w:rPr>
              <w:t>Оформлення паспорта прив'язки тимчасової споруди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Style21"/>
              <w:widowControl w:val="false"/>
              <w:tabs>
                <w:tab w:val="clear" w:pos="708"/>
                <w:tab w:val="center" w:pos="4153" w:leader="none"/>
                <w:tab w:val="right" w:pos="8306" w:leader="none"/>
              </w:tabs>
              <w:ind w:left="0" w:right="0" w:hanging="0"/>
              <w:rPr>
                <w:color w:val="000000"/>
                <w:sz w:val="24"/>
                <w:lang w:eastAsia="uk-UA" w:bidi="uk-UA"/>
              </w:rPr>
            </w:pPr>
            <w:r>
              <w:rPr>
                <w:color w:val="000000"/>
                <w:sz w:val="24"/>
                <w:lang w:eastAsia="uk-UA" w:bidi="uk-UA"/>
              </w:rPr>
              <w:t>Присвоєння  або зміна адреси об’єкта будівництва, об’єкта нерухомого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висновку до землевпорядної документації замовника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01-5</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дозволу на розміщення зовнішньої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01-6</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708"/>
                <w:tab w:val="left" w:pos="390" w:leader="none"/>
                <w:tab w:val="left" w:pos="510" w:leader="none"/>
                <w:tab w:val="center" w:pos="4153" w:leader="none"/>
                <w:tab w:val="right" w:pos="8306" w:leader="none"/>
              </w:tabs>
              <w:ind w:left="0" w:right="0" w:hanging="0"/>
              <w:rPr>
                <w:color w:val="000000"/>
                <w:sz w:val="24"/>
                <w:lang w:eastAsia="uk-UA" w:bidi="uk-UA"/>
              </w:rPr>
            </w:pPr>
            <w:r>
              <w:rPr>
                <w:color w:val="000000"/>
                <w:sz w:val="24"/>
                <w:lang w:eastAsia="uk-UA" w:bidi="uk-UA"/>
              </w:rPr>
              <w:t>Надання 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01-7</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r>
              <w:rPr>
                <w:rFonts w:cs="Times New Roman" w:ascii="Times New Roman" w:hAnsi="Times New Roman"/>
                <w:color w:val="000000"/>
                <w:sz w:val="24"/>
                <w:szCs w:val="24"/>
                <w:lang w:eastAsia="en-US"/>
              </w:rPr>
              <w:t xml:space="preserve">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01-8</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708"/>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01-9</w:t>
            </w:r>
          </w:p>
        </w:tc>
        <w:tc>
          <w:tcPr>
            <w:tcW w:w="8482"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01-10</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bCs/>
                <w:color w:val="000000"/>
                <w:sz w:val="24"/>
                <w:szCs w:val="24"/>
                <w:highlight w:val="white"/>
                <w:lang w:eastAsia="uk-UA" w:bidi="uk-UA"/>
              </w:rPr>
            </w:pPr>
            <w:r>
              <w:rPr>
                <w:rFonts w:eastAsia="Times New Roman" w:cs="Times New Roman" w:ascii="Times New Roman" w:hAnsi="Times New Roman"/>
                <w:bCs/>
                <w:color w:val="000000"/>
                <w:sz w:val="24"/>
                <w:szCs w:val="24"/>
                <w:highlight w:val="white"/>
                <w:lang w:eastAsia="uk-UA" w:bidi="uk-UA"/>
              </w:rPr>
              <w:t>Внесення змін до декларації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01-11</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Подання повідомлення про початок виконання будівельних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01-12</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повідомлення про початок виконання будівельних робіт</w:t>
            </w:r>
          </w:p>
        </w:tc>
      </w:tr>
      <w:tr>
        <w:trPr>
          <w:trHeight w:val="640"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01-13</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14</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01-14                </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декларації про початок виконання будівельних робіт</w:t>
            </w:r>
          </w:p>
          <w:p>
            <w:pPr>
              <w:pStyle w:val="Normal"/>
              <w:widowControl w:val="false"/>
              <w:tabs>
                <w:tab w:val="clear" w:pos="708"/>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r>
          </w:p>
        </w:tc>
      </w:tr>
      <w:tr>
        <w:trPr>
          <w:trHeight w:val="506" w:hRule="atLeast"/>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15</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pPr>
            <w:r>
              <w:rPr>
                <w:rFonts w:eastAsia="Times New Roman" w:cs="Times New Roman" w:ascii="Times New Roman" w:hAnsi="Times New Roman"/>
                <w:sz w:val="24"/>
                <w:szCs w:val="24"/>
                <w:lang w:eastAsia="uk-UA" w:bidi="uk-UA"/>
              </w:rPr>
              <w:t>Видача дозволу на виконання будівельних робіт</w:t>
            </w:r>
          </w:p>
        </w:tc>
      </w:tr>
      <w:tr>
        <w:trPr>
          <w:trHeight w:val="611" w:hRule="atLeast"/>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16</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Зміна даних у виданому дозволі на виконання будівельних робіт</w:t>
            </w:r>
          </w:p>
        </w:tc>
      </w:tr>
      <w:tr>
        <w:trPr>
          <w:trHeight w:val="509" w:hRule="atLeast"/>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17</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Анулювання дозволу на виконання будівельних робіт за заявою</w:t>
            </w:r>
          </w:p>
        </w:tc>
      </w:tr>
      <w:tr>
        <w:trPr>
          <w:trHeight w:val="510" w:hRule="atLeast"/>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18</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 xml:space="preserve">Реєстрація декларації про готовність об'єкта до експлуатації </w:t>
            </w:r>
          </w:p>
        </w:tc>
      </w:tr>
      <w:tr>
        <w:trPr>
          <w:trHeight w:val="761" w:hRule="atLeast"/>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19</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512" w:hRule="atLeast"/>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20</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01-20</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w:t>
            </w:r>
          </w:p>
        </w:tc>
      </w:tr>
      <w:tr>
        <w:trPr>
          <w:trHeight w:val="1022" w:hRule="atLeast"/>
        </w:trPr>
        <w:tc>
          <w:tcPr>
            <w:tcW w:w="616"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21</w:t>
            </w:r>
          </w:p>
        </w:tc>
        <w:tc>
          <w:tcPr>
            <w:tcW w:w="1477"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42" w:leader="none"/>
                <w:tab w:val="left" w:pos="6606" w:leader="none"/>
                <w:tab w:val="left" w:pos="8147" w:leader="none"/>
              </w:tabs>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267" w:hRule="atLeast"/>
        </w:trPr>
        <w:tc>
          <w:tcPr>
            <w:tcW w:w="616" w:type="dxa"/>
            <w:tcBorders>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22</w:t>
            </w:r>
          </w:p>
        </w:tc>
        <w:tc>
          <w:tcPr>
            <w:tcW w:w="1477" w:type="dxa"/>
            <w:tcBorders>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01-22</w:t>
            </w:r>
          </w:p>
        </w:tc>
        <w:tc>
          <w:tcPr>
            <w:tcW w:w="8482"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pPr>
            <w:r>
              <w:rPr>
                <w:rFonts w:eastAsia="Times New Roman" w:cs="Times New Roman" w:ascii="Times New Roman" w:hAnsi="Times New Roman"/>
                <w:sz w:val="24"/>
                <w:szCs w:val="24"/>
                <w:lang w:eastAsia="uk-UA" w:bidi="uk-UA"/>
              </w:rPr>
              <w:t xml:space="preserve"> </w:t>
            </w:r>
            <w:r>
              <w:rPr>
                <w:rFonts w:eastAsia="Times New Roman" w:cs="Times New Roman" w:ascii="Times New Roman" w:hAnsi="Times New Roman"/>
                <w:sz w:val="24"/>
                <w:szCs w:val="24"/>
                <w:lang w:eastAsia="uk-UA" w:bidi="uk-UA"/>
              </w:rPr>
              <w:t>В</w:t>
            </w:r>
            <w:bookmarkStart w:id="3" w:name="_GoBack31"/>
            <w:bookmarkEnd w:id="3"/>
            <w:r>
              <w:rPr>
                <w:rFonts w:eastAsia="Times New Roman" w:cs="Times New Roman" w:ascii="Times New Roman" w:hAnsi="Times New Roman"/>
                <w:sz w:val="24"/>
                <w:szCs w:val="24"/>
                <w:lang w:eastAsia="uk-UA" w:bidi="uk-UA"/>
              </w:rPr>
              <w:t>идача сертифіката про прийняття в експлуатацію закінченого будівництвом об’єкта</w:t>
            </w:r>
          </w:p>
        </w:tc>
      </w:tr>
      <w:tr>
        <w:trPr>
          <w:trHeight w:val="365"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02  Відділ землекористування</w:t>
            </w:r>
          </w:p>
        </w:tc>
      </w:tr>
      <w:tr>
        <w:trPr>
          <w:trHeight w:val="846"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02-1</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надання дозволу на розроблення проекту землеустрою щодо відведення земельної ділянки у власність, в постійне користування та в оренду із земель державної та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02-2</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поновлення договору оренди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02-4</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ділянки,межі якої встановлені в натурі (на місцевості)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погодження викупу земельної ділянки та проведення її експертної грошової оцінки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передачу у власність, надання в постійне користування та оренду земельних ділянок, що перебувають у державній або комунальній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розірвання  договору оренди земельної ділянки або припинення права постійного користування земельною ділянкою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Надання відомостей з державного земельного кадастру у формі витягу з державного земельного кадастру про земельну ділянку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84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ind w:left="-76" w:right="0" w:hanging="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 xml:space="preserve">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 xml:space="preserve">(крім громадського формування) </w:t>
            </w:r>
            <w:r>
              <w:rPr>
                <w:color w:val="000000"/>
              </w:rPr>
              <w:t xml:space="preserve">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 xml:space="preserve">(крім громадського формування)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rFonts w:ascii="Times New Roman" w:hAnsi="Times New Roman" w:cs="Times New Roman"/>
                <w:color w:val="000000"/>
                <w:sz w:val="24"/>
                <w:szCs w:val="24"/>
                <w:lang w:eastAsia="uk-UA"/>
              </w:rPr>
            </w:pPr>
            <w:bookmarkStart w:id="4" w:name="n133"/>
            <w:bookmarkEnd w:id="4"/>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іншого (відмінного від права власності)речового права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Внесення змін до записів  Державного реєстру речових прав на нерухоме майно  та їх обтяжень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права власності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60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61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3"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0"/>
              <w:ind w:left="0" w:right="0" w:hanging="16"/>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 xml:space="preserve">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Зняття з реєстрації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67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Видача довідки про склад сім’ї або зареєстрованих у житловому приміщенні/будинку осіб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Підтвердження відомостей про кінцевого бенефіціарного власника юридичної особи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200"/>
              <w:ind w:left="-108" w:righ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Надання субсидій для для відшкодування витрат на оплату житлово-комунальних послуг, придбання скрапленого газу, твердого та рідкого пічного побутового палива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пільг на придбання твердого палива і скрапленого газу</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Виплата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дозволу опікуну на вчинення правочинів щодо відмови від майнових прав підопічного;видання письмових зобов’язань від імені підопічного;укладення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cs="Times New Roman" w:ascii="Times New Roman" w:hAnsi="Times New Roman"/>
                <w:sz w:val="24"/>
                <w:szCs w:val="24"/>
              </w:rPr>
              <w:t xml:space="preserve">Видача дозволу піклувальнику </w:t>
            </w:r>
            <w:r>
              <w:rPr>
                <w:rFonts w:cs="Times New Roman" w:ascii="Times New Roman" w:hAnsi="Times New Roman"/>
                <w:color w:val="000000"/>
                <w:sz w:val="24"/>
                <w:szCs w:val="24"/>
                <w:lang w:eastAsia="en-US"/>
              </w:rPr>
              <w:t>для надання згоди підопічній повнолітній особі,дієздатність якої обмежена, на вчинення правочину щодо:відмови від майнових прав підопічного;видання письмових зобов’язань від імені підопічного; укладення договорів,які підлягають нотаріальному посвідченню та (або)державній реєстрації, в тому числі договорів щодо поділу або обміну житлового будинку,квартири;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Надання державної соціальної допомоги малозабезпеченим сім’ям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у зв’язку з вагітністю та пологами особам, які не застраховані в системі загальнообов’язкового держвного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усиновленні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одиноким матерям</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над якими встановлено опіку чи піклувння</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надбавки на догляд за особами з інвалідністю з дитинства та дітьми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 допомоги особам, які не мають право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Компенсаційна виплата фізичній особі, яка надає соціальні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щомісячної грошової допомоги особі,яка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одноразової матеріальної допомоги особам з інвалідністю та дітям з інвалідністю</w:t>
            </w:r>
          </w:p>
        </w:tc>
      </w:tr>
      <w:tr>
        <w:trPr>
          <w:trHeight w:val="2761"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одноразової компенсації сім’ям, яківратили годувальника із числа осіб, віднесених до учасників ліквідації аварії Чорнобильської АЕС, смерть яких пов’язана  з  Чорнобильською катастрофою, та учасників ліквідації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міських,районних, районних у мм.Києві та Севастополі держадміністрацій,виконавчих органів міських, районних у містах (у разі їх утворення) рад</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проходження обласної, центральної міської у мм.Києві та Севастополі медико-соціальної експертної комісії для взяття на облік для забезпечення осіб з інвалідністю автомобілями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r>
      <w:tr>
        <w:trPr>
          <w:trHeight w:val="1005" w:hRule="atLeast"/>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війні і праці,психоневрологічного інтернату, дитячого будинку – інтернату або молодіжного відділення дитячого будинку-інтернату</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Установлення статусу, видача посвідчень батькам багатодітної сім’ї та дитини з багатодітної сім’ї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які постраждали внаслідок Чорнобильської катастрофи, та іншим категоріям громадян</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110</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члена сім’ї загиблого ветерана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111</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учасника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112</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особи з інвалідністю внаслідок війни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113</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114</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особі,яка доглядає за хворою дитиною</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115</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1,2 та 3, дітям, потерпілим від Чорнобильської катастрофи, дітям з інвалідністю внаслідок Чорнобильської катастрофи</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116</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Надання державної допомоги на дітей, які виховуються у багатодітних сім’ях </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117</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118</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119</w:t>
            </w:r>
          </w:p>
        </w:tc>
        <w:tc>
          <w:tcPr>
            <w:tcW w:w="1477"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48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spacing w:lineRule="auto" w:line="216" w:before="0" w:after="0"/>
              <w:contextualSpacing/>
              <w:jc w:val="center"/>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 </w:t>
            </w:r>
          </w:p>
          <w:p>
            <w:pPr>
              <w:pStyle w:val="Normal"/>
              <w:tabs>
                <w:tab w:val="clear" w:pos="7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12-10</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12-11</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12-12</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12-13</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12-14</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12-15</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bookmarkStart w:id="5"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12-17</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12-18</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 xml:space="preserve">14 Південно-Східне міжрегіональне управління </w:t>
            </w:r>
          </w:p>
          <w:p>
            <w:pPr>
              <w:pStyle w:val="Normal"/>
              <w:tabs>
                <w:tab w:val="clear" w:pos="7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Видача дубліката свідоцтва про державну реєстрацію статуту територіальної громади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
            <w:bookmarkEnd w:id="7"/>
            <w:r>
              <w:rPr>
                <w:rFonts w:cs="Times New Roman" w:ascii="Times New Roman" w:hAnsi="Times New Roman"/>
                <w:color w:val="000000"/>
                <w:sz w:val="24"/>
                <w:szCs w:val="24"/>
                <w:lang w:eastAsia="uk-UA"/>
              </w:rPr>
              <w:t xml:space="preserve">державної реєстрації статуту територіальної громади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 xml:space="preserve">територіального осередку творчої спілки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w:t>
            </w:r>
            <w:bookmarkStart w:id="8" w:name="n12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творчої спілки, територіального осередку творчої спілки в результаті реорганізації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Державна реєстрація створення професійної спілки, організації професійних спілок, об’єднання професійних спілок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bookmarkStart w:id="9"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r>
              <w:rPr>
                <w:rFonts w:cs="Times New Roman" w:ascii="Times New Roman" w:hAnsi="Times New Roman"/>
                <w:color w:val="000000"/>
                <w:sz w:val="24"/>
                <w:szCs w:val="24"/>
                <w:lang w:eastAsia="en-US"/>
              </w:rPr>
              <w:t xml:space="preserve">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Державна реєстрація створення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припинення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Державна реєстрація припинення організації роботодавців, об’єднання організацій роботодавців в результаті ліквідації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 xml:space="preserve">в результаті реорганізації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ind w:right="-284" w:hanging="0"/>
              <w:contextualSpacing/>
              <w:jc w:val="both"/>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 xml:space="preserve">ержавна реєстрація створення громадського об’єднання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рішення про припинення громадського об’єднання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громадського об’єднання в результаті його реорганізації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створення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рішення про припинення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зміни складу комісії з припинення (комісії з реорганізації, ліквідаційної комісії)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структурного утворення політичної партії в результаті його ліквідації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структурного утворення політичної партії в результаті його реорганізації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r>
              <w:rPr>
                <w:rFonts w:cs="Times New Roman" w:ascii="Times New Roman" w:hAnsi="Times New Roman"/>
                <w:i/>
                <w:color w:val="943634"/>
                <w:sz w:val="24"/>
                <w:szCs w:val="24"/>
                <w:highlight w:val="yellow"/>
                <w:lang w:eastAsia="uk-UA"/>
              </w:rPr>
              <w:t xml:space="preserve">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199</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200</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201</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
            <w:bookmarkEnd w:id="11"/>
            <w:r>
              <w:rPr>
                <w:rFonts w:cs="Times New Roman" w:ascii="Times New Roman" w:hAnsi="Times New Roman"/>
                <w:sz w:val="24"/>
                <w:szCs w:val="24"/>
                <w:lang w:eastAsia="uk-UA"/>
              </w:rPr>
              <w:t xml:space="preserve">про припинення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202</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bookmarkStart w:id="12"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3" w:name="n1321"/>
            <w:bookmarkEnd w:id="13"/>
            <w:r>
              <w:rPr>
                <w:rFonts w:cs="Times New Roman" w:ascii="Times New Roman" w:hAnsi="Times New Roman"/>
                <w:sz w:val="24"/>
                <w:szCs w:val="24"/>
                <w:lang w:eastAsia="uk-UA"/>
              </w:rPr>
              <w:t xml:space="preserve">про припинення структурного утворення політичної партії </w:t>
            </w:r>
            <w:bookmarkEnd w:id="12"/>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cs="Times New Roman"/>
                <w:b/>
                <w:b/>
                <w:bCs/>
                <w:sz w:val="24"/>
                <w:szCs w:val="24"/>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203</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204</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205</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206</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207</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208</w:t>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8482"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209</w:t>
            </w:r>
          </w:p>
        </w:tc>
        <w:tc>
          <w:tcPr>
            <w:tcW w:w="9959" w:type="dxa"/>
            <w:gridSpan w:val="2"/>
            <w:tcBorders>
              <w:left w:val="single" w:sz="4" w:space="0" w:color="000001"/>
              <w:bottom w:val="single" w:sz="4" w:space="0" w:color="000001"/>
              <w:right w:val="single" w:sz="4" w:space="0" w:color="000001"/>
            </w:tcBorders>
            <w:shd w:fill="auto" w:val="clear"/>
          </w:tcPr>
          <w:p>
            <w:pPr>
              <w:pStyle w:val="3"/>
              <w:spacing w:lineRule="auto" w:line="216" w:before="140" w:after="12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 xml:space="preserve">Комплексна послуга «єМАЛЯТКО»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9959"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r>
              <w:rPr>
                <w:rFonts w:cs="Times New Roman" w:ascii="Times New Roman" w:hAnsi="Times New Roman"/>
                <w:b/>
                <w:bCs/>
                <w:sz w:val="24"/>
                <w:szCs w:val="24"/>
              </w:rPr>
              <w:t xml:space="preserve"> </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8482" w:type="dxa"/>
            <w:tcBorders>
              <w:left w:val="single" w:sz="4" w:space="0" w:color="000001"/>
              <w:bottom w:val="single" w:sz="4" w:space="0" w:color="000001"/>
              <w:right w:val="single" w:sz="4" w:space="0" w:color="000001"/>
            </w:tcBorders>
            <w:shd w:fill="auto" w:val="clear"/>
          </w:tcPr>
          <w:p>
            <w:pPr>
              <w:pStyle w:val="Style15"/>
              <w:widowControl/>
              <w:tabs>
                <w:tab w:val="clear" w:pos="7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8482" w:type="dxa"/>
            <w:tcBorders>
              <w:left w:val="single" w:sz="4" w:space="0" w:color="000001"/>
              <w:bottom w:val="single" w:sz="4" w:space="0" w:color="000001"/>
              <w:right w:val="single" w:sz="4" w:space="0" w:color="000001"/>
            </w:tcBorders>
            <w:shd w:fill="auto" w:val="clear"/>
          </w:tcPr>
          <w:p>
            <w:pPr>
              <w:pStyle w:val="Style15"/>
              <w:widowControl/>
              <w:tabs>
                <w:tab w:val="clear" w:pos="708"/>
                <w:tab w:val="center" w:pos="4153" w:leader="none"/>
                <w:tab w:val="right" w:pos="8306" w:leader="none"/>
              </w:tabs>
              <w:spacing w:lineRule="auto" w:line="216" w:before="75" w:after="75"/>
              <w:contextualSpacing/>
              <w:jc w:val="both"/>
              <w:rPr>
                <w:color w:val="000000"/>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8482" w:type="dxa"/>
            <w:tcBorders>
              <w:left w:val="single" w:sz="4" w:space="0" w:color="000001"/>
              <w:bottom w:val="single" w:sz="4" w:space="0" w:color="000001"/>
              <w:right w:val="single" w:sz="4" w:space="0" w:color="000001"/>
            </w:tcBorders>
            <w:shd w:fill="auto" w:val="clear"/>
          </w:tcPr>
          <w:p>
            <w:pPr>
              <w:pStyle w:val="Style15"/>
              <w:widowControl/>
              <w:tabs>
                <w:tab w:val="clear" w:pos="708"/>
                <w:tab w:val="center" w:pos="4153" w:leader="none"/>
                <w:tab w:val="right" w:pos="8306" w:leader="none"/>
              </w:tabs>
              <w:spacing w:lineRule="auto" w:line="216" w:before="75" w:after="75"/>
              <w:contextualSpacing/>
              <w:jc w:val="both"/>
              <w:rPr>
                <w:color w:val="000000"/>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8482" w:type="dxa"/>
            <w:tcBorders>
              <w:left w:val="single" w:sz="4" w:space="0" w:color="000001"/>
              <w:bottom w:val="single" w:sz="4" w:space="0" w:color="000001"/>
              <w:right w:val="single" w:sz="4" w:space="0" w:color="000001"/>
            </w:tcBorders>
            <w:shd w:fill="auto" w:val="clear"/>
          </w:tcPr>
          <w:p>
            <w:pPr>
              <w:pStyle w:val="Style15"/>
              <w:widowControl/>
              <w:spacing w:lineRule="auto" w:line="216" w:before="75" w:after="75"/>
              <w:contextualSpacing/>
              <w:jc w:val="both"/>
              <w:rPr>
                <w:color w:val="000000"/>
              </w:rPr>
            </w:pPr>
            <w:r>
              <w:rPr>
                <w:color w:val="000000"/>
              </w:rPr>
              <w:t>Реєстрація місця проживання народженої дитини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482"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8482" w:type="dxa"/>
            <w:tcBorders>
              <w:left w:val="single" w:sz="4" w:space="0" w:color="000001"/>
              <w:bottom w:val="single" w:sz="4" w:space="0" w:color="000001"/>
              <w:right w:val="single" w:sz="4" w:space="0" w:color="000001"/>
            </w:tcBorders>
            <w:shd w:fill="auto" w:val="clear"/>
          </w:tcPr>
          <w:p>
            <w:pPr>
              <w:pStyle w:val="Style15"/>
              <w:widowControl/>
              <w:spacing w:lineRule="auto" w:line="216" w:before="75" w:after="75"/>
              <w:contextualSpacing/>
              <w:jc w:val="both"/>
              <w:rPr>
                <w:color w:val="000000"/>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8482" w:type="dxa"/>
            <w:tcBorders>
              <w:left w:val="single" w:sz="4" w:space="0" w:color="000001"/>
              <w:bottom w:val="single" w:sz="4" w:space="0" w:color="000001"/>
              <w:right w:val="single" w:sz="4" w:space="0" w:color="000001"/>
            </w:tcBorders>
            <w:shd w:fill="auto" w:val="clear"/>
          </w:tcPr>
          <w:p>
            <w:pPr>
              <w:pStyle w:val="Style15"/>
              <w:widowControl/>
              <w:spacing w:lineRule="auto" w:line="216" w:before="75" w:after="75"/>
              <w:contextualSpacing/>
              <w:jc w:val="both"/>
              <w:rPr>
                <w:color w:val="000000"/>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before="0" w:after="200"/>
              <w:contextualSpacing/>
              <w:rPr/>
            </w:pPr>
            <w:r>
              <w:rPr/>
            </w:r>
          </w:p>
        </w:tc>
        <w:tc>
          <w:tcPr>
            <w:tcW w:w="1477"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7</w:t>
            </w:r>
          </w:p>
        </w:tc>
        <w:tc>
          <w:tcPr>
            <w:tcW w:w="8482" w:type="dxa"/>
            <w:tcBorders>
              <w:left w:val="single" w:sz="4" w:space="0" w:color="000001"/>
              <w:bottom w:val="single" w:sz="4" w:space="0" w:color="000001"/>
              <w:right w:val="single" w:sz="4" w:space="0" w:color="000001"/>
            </w:tcBorders>
            <w:shd w:fill="auto" w:val="clear"/>
          </w:tcPr>
          <w:p>
            <w:pPr>
              <w:pStyle w:val="Style15"/>
              <w:widowControl/>
              <w:spacing w:lineRule="auto" w:line="216" w:before="75" w:after="75"/>
              <w:contextualSpacing/>
              <w:jc w:val="both"/>
              <w:rPr>
                <w:color w:val="000000"/>
              </w:rPr>
            </w:pPr>
            <w:r>
              <w:rPr>
                <w:color w:val="000000"/>
              </w:rPr>
              <w:t>Призначення допомоги багатодітним сім'ям</w:t>
            </w:r>
          </w:p>
        </w:tc>
      </w:tr>
    </w:tbl>
    <w:p>
      <w:pPr>
        <w:pStyle w:val="Normal"/>
        <w:rPr/>
      </w:pPr>
      <w:r>
        <w:rPr/>
      </w:r>
    </w:p>
    <w:p>
      <w:pPr>
        <w:pStyle w:val="Normal"/>
        <w:spacing w:lineRule="auto" w:line="240" w:before="0" w:after="0"/>
        <w:contextualSpacing/>
        <w:jc w:val="both"/>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4"/>
    <w:next w:val="Style15"/>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paragraph" w:styleId="Style14" w:customStyle="1">
    <w:name w:val="Заголовок"/>
    <w:basedOn w:val="Normal"/>
    <w:next w:val="Style15"/>
    <w:qFormat/>
    <w:rsid w:val="00af532c"/>
    <w:pPr>
      <w:keepNext w:val="true"/>
      <w:spacing w:before="240" w:after="120"/>
    </w:pPr>
    <w:rPr>
      <w:rFonts w:ascii="Liberation Sans" w:hAnsi="Liberation Sans" w:eastAsia="Microsoft YaHei" w:cs="Arial"/>
      <w:sz w:val="28"/>
      <w:szCs w:val="28"/>
    </w:rPr>
  </w:style>
  <w:style w:type="paragraph" w:styleId="Style15">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rsid w:val="00af532c"/>
    <w:pPr/>
    <w:rPr>
      <w:rFonts w:cs="Arial"/>
    </w:rPr>
  </w:style>
  <w:style w:type="paragraph" w:styleId="Style17" w:customStyle="1">
    <w:name w:val="Caption"/>
    <w:basedOn w:val="Normal"/>
    <w:qFormat/>
    <w:rsid w:val="00af532c"/>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customStyle="1">
    <w:name w:val="Покажчик"/>
    <w:basedOn w:val="Normal"/>
    <w:qFormat/>
    <w:rsid w:val="00af532c"/>
    <w:pPr>
      <w:suppressLineNumbers/>
    </w:pPr>
    <w:rPr>
      <w:rFonts w:cs="Arial"/>
    </w:rPr>
  </w:style>
  <w:style w:type="paragraph" w:styleId="NoSpacing">
    <w:name w:val="No Spacing"/>
    <w:uiPriority w:val="1"/>
    <w:qFormat/>
    <w:rsid w:val="00fc5833"/>
    <w:pPr>
      <w:widowControl/>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0"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1">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Application>LibreOffice/6.2.8.2$Windows_X86_64 LibreOffice_project/f82ddfca21ebc1e222a662a32b25c0c9d20169ee</Application>
  <Pages>13</Pages>
  <Words>4083</Words>
  <Characters>28112</Characters>
  <CharactersWithSpaces>32371</CharactersWithSpaces>
  <Paragraphs>692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2020-07-01T08:32:12Z</cp:lastPrinted>
  <dcterms:modified xsi:type="dcterms:W3CDTF">2020-07-07T16:09:48Z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