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-36195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7.7pt;margin-top:-2.85pt;width:51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2871470</wp:posOffset>
            </wp:positionH>
            <wp:positionV relativeFrom="paragraph">
              <wp:posOffset>-65405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20.04.2021 р.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>м.Покров                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155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малолітній статусу дитини-сироти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померла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р.(свідоцтво про смерть від 09.04.2021 р. серія І-КИ № 974691).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 відповідно до ч.1 ст.135 Сімейного Кодексу України.</w:t>
      </w:r>
    </w:p>
    <w:p>
      <w:pPr>
        <w:pStyle w:val="Normal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2.Службі у справах дітей виконавчого комітету Покровської міської ради Дніпропетровської області вирішити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4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Application>LibreOffice/6.1.4.2$Windows_x86 LibreOffice_project/9d0f32d1f0b509096fd65e0d4bec26ddd1938fd3</Application>
  <Pages>1</Pages>
  <Words>199</Words>
  <Characters>1383</Characters>
  <CharactersWithSpaces>1691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2021-04-20T16:35:11Z</cp:lastPrinted>
  <dcterms:modified xsi:type="dcterms:W3CDTF">2021-04-22T11:43:13Z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