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5424170</wp:posOffset>
                </wp:positionH>
                <wp:positionV relativeFrom="paragraph">
                  <wp:posOffset>-102870</wp:posOffset>
                </wp:positionV>
                <wp:extent cx="6870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1pt;margin-top:-8.1pt;width:54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27.01.2021р.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11</w:t>
      </w:r>
      <w:r>
        <w:rPr>
          <w:rFonts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малолітньому статусу дитини-сироти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виконавчого комітету Покровської міської ради перебуває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який залишився без батьківського піклування.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Мати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ХХХХ ХХХХ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померла 18 січня 2021 року (свідоцтво про смерть серія І-КИ №974483 від 19.01.2021 р.)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У свідоцтві про народження відомості про батька дитини записані  відповідно до ч.1 ст.135 Сімейного Кодексу України.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1.Надати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статус дитини-сироти.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2.Службі у справах дітей вирішити питання про подальше влаштування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spacing w:before="171" w:after="171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Application>LibreOffice/6.1.4.2$Windows_x86 LibreOffice_project/9d0f32d1f0b509096fd65e0d4bec26ddd1938fd3</Application>
  <Pages>1</Pages>
  <Words>191</Words>
  <Characters>1290</Characters>
  <CharactersWithSpaces>1603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2021-01-21T13:13:49Z</cp:lastPrinted>
  <dcterms:modified xsi:type="dcterms:W3CDTF">2021-01-28T10:42:18Z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